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Thematic plan of practical training</w:t>
      </w:r>
    </w:p>
    <w:p w:rsidR="009C3F4D" w:rsidRPr="009C3F4D" w:rsidRDefault="009C3F4D" w:rsidP="009C3F4D">
      <w:pPr>
        <w:rPr>
          <w:lang w:val="en-US"/>
        </w:rPr>
      </w:pP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1. Anatomy and physiology of the organ of vision. Method of research.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2. Visual functions and their age dynamics. Optical system of the eye. Clinical refraction and its age dynamics. Myopia.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3. Binocular and stereoscopic vision. Friendly and paralytic strabismus.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4. Pathology of the conjunctiva, eyelids and lacrimal organs in adults and children.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5. Pathology of the cornea and sclera. Diseases of the lens and vitreous in adults and children.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6. Pathology of intraocular pressure in adults and children.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7. Pathology of the choroid of the eyes.</w:t>
      </w:r>
    </w:p>
    <w:p w:rsidR="009C3F4D" w:rsidRPr="009C3F4D" w:rsidRDefault="009C3F4D" w:rsidP="009C3F4D">
      <w:pPr>
        <w:rPr>
          <w:lang w:val="en-US"/>
        </w:rPr>
      </w:pPr>
      <w:r w:rsidRPr="009C3F4D">
        <w:rPr>
          <w:lang w:val="en-US"/>
        </w:rPr>
        <w:t>8. Retinal and optic nerve pathology in adults and children. Eye manifestations of common diseases of people of different ages.</w:t>
      </w:r>
    </w:p>
    <w:p w:rsidR="00574A95" w:rsidRPr="009C3F4D" w:rsidRDefault="009C3F4D" w:rsidP="009C3F4D">
      <w:pPr>
        <w:rPr>
          <w:lang w:val="en-US"/>
        </w:rPr>
      </w:pPr>
      <w:r w:rsidRPr="009C3F4D">
        <w:rPr>
          <w:lang w:val="en-US"/>
        </w:rPr>
        <w:t>9. Damage to the organ of vision.</w:t>
      </w:r>
    </w:p>
    <w:sectPr w:rsidR="00574A95" w:rsidRPr="009C3F4D" w:rsidSect="00E7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F4D"/>
    <w:rsid w:val="00080210"/>
    <w:rsid w:val="009C3F4D"/>
    <w:rsid w:val="00A33359"/>
    <w:rsid w:val="00E7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2018-05-28T18:51:00Z</dcterms:created>
  <dcterms:modified xsi:type="dcterms:W3CDTF">2018-05-28T18:51:00Z</dcterms:modified>
</cp:coreProperties>
</file>