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РАБОЧЕЙ ПРОГРАММЫ ДИСЦИПЛИНЫ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1D2B65">
        <w:rPr>
          <w:rFonts w:ascii="TimesNewRomanPSMT" w:hAnsi="TimesNewRomanPSMT" w:cs="TimesNewRomanPSMT"/>
          <w:b/>
          <w:sz w:val="28"/>
          <w:szCs w:val="28"/>
        </w:rPr>
        <w:t>«</w:t>
      </w:r>
      <w:r w:rsidR="00942885" w:rsidRPr="00942885">
        <w:rPr>
          <w:rFonts w:ascii="TimesNewRomanPSMT" w:hAnsi="TimesNewRomanPSMT" w:cs="TimesNewRomanPSMT"/>
          <w:b/>
          <w:sz w:val="28"/>
          <w:szCs w:val="28"/>
        </w:rPr>
        <w:t>Материально-техническое обеспечение</w:t>
      </w:r>
      <w:r w:rsidRPr="001D2B65">
        <w:rPr>
          <w:rFonts w:ascii="TimesNewRomanPSMT" w:hAnsi="TimesNewRomanPSMT" w:cs="TimesNewRomanPSMT"/>
          <w:b/>
          <w:sz w:val="28"/>
          <w:szCs w:val="28"/>
        </w:rPr>
        <w:t>»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3C01BB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3C01BB">
        <w:rPr>
          <w:rFonts w:ascii="TimesNewRomanPSMT" w:hAnsi="TimesNewRomanPSMT" w:cs="TimesNewRomanPSMT"/>
          <w:b/>
          <w:sz w:val="28"/>
          <w:szCs w:val="28"/>
        </w:rPr>
        <w:t xml:space="preserve">по направлению </w:t>
      </w:r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20.03.01 «</w:t>
      </w:r>
      <w:proofErr w:type="spellStart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>Техносферная</w:t>
      </w:r>
      <w:proofErr w:type="spellEnd"/>
      <w:r w:rsidR="001D2B65" w:rsidRPr="001D2B65">
        <w:rPr>
          <w:rFonts w:ascii="TimesNewRomanPSMT" w:hAnsi="TimesNewRomanPSMT" w:cs="TimesNewRomanPSMT"/>
          <w:b/>
          <w:sz w:val="28"/>
          <w:szCs w:val="28"/>
        </w:rPr>
        <w:t xml:space="preserve"> безопасность</w:t>
      </w:r>
      <w:r w:rsidRPr="003C01BB">
        <w:rPr>
          <w:b/>
          <w:sz w:val="28"/>
          <w:szCs w:val="28"/>
        </w:rPr>
        <w:t xml:space="preserve">» </w:t>
      </w:r>
      <w:r w:rsidRPr="003C01BB">
        <w:rPr>
          <w:i/>
          <w:sz w:val="28"/>
          <w:szCs w:val="28"/>
        </w:rPr>
        <w:t>(</w:t>
      </w:r>
      <w:proofErr w:type="spellStart"/>
      <w:r w:rsidRPr="003C01BB">
        <w:rPr>
          <w:i/>
          <w:sz w:val="28"/>
          <w:szCs w:val="28"/>
        </w:rPr>
        <w:t>бакалавриат</w:t>
      </w:r>
      <w:proofErr w:type="spellEnd"/>
      <w:r w:rsidRPr="003C01BB">
        <w:rPr>
          <w:i/>
          <w:sz w:val="28"/>
          <w:szCs w:val="28"/>
        </w:rPr>
        <w:t>)</w:t>
      </w: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Default="0093283E" w:rsidP="0093283E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3283E" w:rsidRPr="009E3117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9E3117">
        <w:rPr>
          <w:sz w:val="28"/>
          <w:szCs w:val="28"/>
        </w:rPr>
        <w:t xml:space="preserve">Цели и задачи </w:t>
      </w:r>
      <w:r w:rsidRPr="00C13118">
        <w:rPr>
          <w:sz w:val="28"/>
          <w:szCs w:val="28"/>
        </w:rPr>
        <w:t>освоения</w:t>
      </w:r>
      <w:r w:rsidRPr="009E3117">
        <w:rPr>
          <w:sz w:val="28"/>
          <w:szCs w:val="28"/>
        </w:rPr>
        <w:t xml:space="preserve"> дисциплины</w:t>
      </w:r>
    </w:p>
    <w:p w:rsidR="0093283E" w:rsidRPr="007A5AC7" w:rsidRDefault="0093283E" w:rsidP="0093283E">
      <w:pPr>
        <w:ind w:firstLine="709"/>
        <w:jc w:val="both"/>
        <w:rPr>
          <w:b/>
          <w:sz w:val="24"/>
          <w:szCs w:val="24"/>
        </w:rPr>
      </w:pPr>
      <w:r w:rsidRPr="007A5AC7">
        <w:rPr>
          <w:b/>
          <w:i/>
          <w:sz w:val="24"/>
          <w:szCs w:val="24"/>
          <w:u w:val="single"/>
        </w:rPr>
        <w:t>Цел</w:t>
      </w:r>
      <w:r>
        <w:rPr>
          <w:b/>
          <w:i/>
          <w:sz w:val="24"/>
          <w:szCs w:val="24"/>
          <w:u w:val="single"/>
        </w:rPr>
        <w:t>и</w:t>
      </w:r>
      <w:r w:rsidRPr="007A5AC7">
        <w:rPr>
          <w:b/>
          <w:i/>
          <w:sz w:val="24"/>
          <w:szCs w:val="24"/>
          <w:u w:val="single"/>
        </w:rPr>
        <w:t xml:space="preserve"> освоения дисциплины</w:t>
      </w:r>
      <w:r w:rsidRPr="007A5AC7">
        <w:rPr>
          <w:b/>
          <w:sz w:val="24"/>
          <w:szCs w:val="24"/>
        </w:rPr>
        <w:t>:</w:t>
      </w:r>
    </w:p>
    <w:p w:rsidR="003279EA" w:rsidRPr="00F27455" w:rsidRDefault="003279EA" w:rsidP="003279E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F27455">
        <w:rPr>
          <w:color w:val="000000"/>
          <w:sz w:val="24"/>
          <w:szCs w:val="24"/>
        </w:rPr>
        <w:t>формирование у студентов твердых знаний по принципам материального, технического и тылового обеспечения мероприятий РСЧС и ГО, а также организации материально-технического и тылового обеспечения частей ГО и формирований в ЧС.</w:t>
      </w:r>
    </w:p>
    <w:p w:rsidR="0093283E" w:rsidRPr="00160CF0" w:rsidRDefault="0093283E" w:rsidP="0093283E">
      <w:pPr>
        <w:ind w:firstLine="709"/>
        <w:jc w:val="both"/>
        <w:rPr>
          <w:b/>
          <w:sz w:val="24"/>
          <w:szCs w:val="24"/>
          <w:u w:val="single"/>
        </w:rPr>
      </w:pPr>
      <w:r w:rsidRPr="00400064">
        <w:rPr>
          <w:b/>
          <w:i/>
          <w:sz w:val="24"/>
          <w:szCs w:val="24"/>
          <w:u w:val="single"/>
        </w:rPr>
        <w:t>Задачи освоения дисциплины</w:t>
      </w:r>
      <w:r w:rsidRPr="00400064">
        <w:rPr>
          <w:b/>
          <w:sz w:val="24"/>
          <w:szCs w:val="24"/>
          <w:u w:val="single"/>
        </w:rPr>
        <w:t>:</w:t>
      </w:r>
    </w:p>
    <w:p w:rsidR="003279EA" w:rsidRPr="003279EA" w:rsidRDefault="003279EA" w:rsidP="003279EA">
      <w:pPr>
        <w:widowControl/>
        <w:numPr>
          <w:ilvl w:val="0"/>
          <w:numId w:val="4"/>
        </w:numPr>
        <w:tabs>
          <w:tab w:val="num" w:pos="360"/>
          <w:tab w:val="left" w:pos="1134"/>
        </w:tabs>
        <w:autoSpaceDE/>
        <w:autoSpaceDN/>
        <w:adjustRightInd/>
        <w:ind w:left="426"/>
        <w:jc w:val="both"/>
        <w:rPr>
          <w:color w:val="000000"/>
          <w:sz w:val="24"/>
          <w:szCs w:val="24"/>
        </w:rPr>
      </w:pPr>
      <w:r w:rsidRPr="003279EA">
        <w:rPr>
          <w:color w:val="000000"/>
          <w:sz w:val="24"/>
          <w:szCs w:val="24"/>
        </w:rPr>
        <w:t>овладеть теоретическими знаниями и практическими навыками студентами, позволяющими в последующем по занимаемым должностям квалифицированно организовать материально-техническое обеспечение мероприятий РСЧС и ГО, как в мирное время при предупреждении и ликвидации последствий стихийных бедствий и ЧС, так и в военное время.</w:t>
      </w:r>
    </w:p>
    <w:p w:rsidR="0093283E" w:rsidRPr="00C10A6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C10A60">
        <w:rPr>
          <w:sz w:val="28"/>
          <w:szCs w:val="28"/>
        </w:rPr>
        <w:t>Место дисциплины в структуре ОПОП</w:t>
      </w:r>
    </w:p>
    <w:p w:rsidR="00B86AFF" w:rsidRPr="00E3118D" w:rsidRDefault="00B86AFF" w:rsidP="00B86AFF">
      <w:pPr>
        <w:pStyle w:val="a3"/>
        <w:tabs>
          <w:tab w:val="clear" w:pos="4677"/>
          <w:tab w:val="center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E3118D">
        <w:rPr>
          <w:sz w:val="24"/>
          <w:szCs w:val="24"/>
        </w:rPr>
        <w:t>Дисциплина «</w:t>
      </w:r>
      <w:r>
        <w:rPr>
          <w:sz w:val="24"/>
          <w:szCs w:val="24"/>
        </w:rPr>
        <w:t>Материально-техническое обеспечение</w:t>
      </w:r>
      <w:r w:rsidRPr="00E3118D">
        <w:rPr>
          <w:sz w:val="24"/>
          <w:szCs w:val="24"/>
        </w:rPr>
        <w:t xml:space="preserve">» относится к </w:t>
      </w:r>
      <w:r>
        <w:rPr>
          <w:sz w:val="24"/>
          <w:szCs w:val="24"/>
        </w:rPr>
        <w:t>обязательной дисциплине</w:t>
      </w:r>
      <w:r w:rsidRPr="00E3118D">
        <w:rPr>
          <w:sz w:val="24"/>
          <w:szCs w:val="24"/>
        </w:rPr>
        <w:t xml:space="preserve">. Данная дисциплина является одной из профилирующих дисциплин в системе подготовки бакалавра по направлению </w:t>
      </w:r>
      <w:r>
        <w:rPr>
          <w:sz w:val="24"/>
          <w:szCs w:val="24"/>
        </w:rPr>
        <w:t>20.03</w:t>
      </w:r>
      <w:r w:rsidRPr="00E3118D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E3118D"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Техносферная</w:t>
      </w:r>
      <w:proofErr w:type="spellEnd"/>
      <w:r>
        <w:rPr>
          <w:sz w:val="24"/>
          <w:szCs w:val="24"/>
        </w:rPr>
        <w:t xml:space="preserve"> безопасность</w:t>
      </w:r>
      <w:r w:rsidRPr="00E3118D">
        <w:rPr>
          <w:sz w:val="24"/>
          <w:szCs w:val="24"/>
        </w:rPr>
        <w:t xml:space="preserve">». </w:t>
      </w:r>
    </w:p>
    <w:p w:rsidR="00B86AFF" w:rsidRDefault="00B86AFF" w:rsidP="00B86AFF">
      <w:pPr>
        <w:ind w:firstLine="708"/>
        <w:jc w:val="both"/>
        <w:rPr>
          <w:sz w:val="24"/>
        </w:rPr>
      </w:pPr>
      <w:r w:rsidRPr="000A6245">
        <w:rPr>
          <w:sz w:val="24"/>
        </w:rPr>
        <w:t xml:space="preserve">Она читается в </w:t>
      </w:r>
      <w:r>
        <w:rPr>
          <w:sz w:val="24"/>
        </w:rPr>
        <w:t>8</w:t>
      </w:r>
      <w:r w:rsidRPr="000A6245">
        <w:rPr>
          <w:sz w:val="24"/>
        </w:rPr>
        <w:t xml:space="preserve">-ом </w:t>
      </w:r>
      <w:r>
        <w:rPr>
          <w:sz w:val="24"/>
        </w:rPr>
        <w:t>4</w:t>
      </w:r>
      <w:r w:rsidRPr="000A6245">
        <w:rPr>
          <w:sz w:val="24"/>
        </w:rPr>
        <w:t xml:space="preserve">-ого курса студентам очной формы обучения и </w:t>
      </w:r>
      <w:r>
        <w:rPr>
          <w:sz w:val="24"/>
        </w:rPr>
        <w:t>базируется на следующих</w:t>
      </w:r>
      <w:r w:rsidRPr="000A6245">
        <w:rPr>
          <w:sz w:val="24"/>
        </w:rPr>
        <w:t xml:space="preserve"> предшествующих дисциплин</w:t>
      </w:r>
      <w:r>
        <w:rPr>
          <w:sz w:val="24"/>
        </w:rPr>
        <w:t>ах</w:t>
      </w:r>
      <w:r w:rsidRPr="000A6245">
        <w:rPr>
          <w:sz w:val="24"/>
        </w:rPr>
        <w:t>:</w:t>
      </w:r>
    </w:p>
    <w:p w:rsidR="00B86AFF" w:rsidRDefault="00B86AFF" w:rsidP="00B86AFF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«Организация и ведение аварийно-спасательных работ»;</w:t>
      </w:r>
    </w:p>
    <w:p w:rsidR="00B86AFF" w:rsidRDefault="00B86AFF" w:rsidP="00B86AFF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«Организация связи и оповещения в ЧС».</w:t>
      </w:r>
    </w:p>
    <w:p w:rsidR="00B86AFF" w:rsidRPr="000A6245" w:rsidRDefault="00B86AFF" w:rsidP="00B86AFF">
      <w:pPr>
        <w:ind w:firstLine="708"/>
        <w:jc w:val="both"/>
        <w:rPr>
          <w:sz w:val="24"/>
        </w:rPr>
      </w:pPr>
      <w:r w:rsidRPr="005B6CB6">
        <w:rPr>
          <w:sz w:val="24"/>
          <w:szCs w:val="24"/>
        </w:rPr>
        <w:t>Для освоения дисциплины студент должен</w:t>
      </w:r>
      <w:r w:rsidRPr="005B6CB6">
        <w:rPr>
          <w:sz w:val="24"/>
        </w:rPr>
        <w:t xml:space="preserve"> иметь следующие «входные» знания, умения, навыки и компетенции</w:t>
      </w:r>
      <w:r w:rsidRPr="005B6CB6">
        <w:rPr>
          <w:sz w:val="24"/>
          <w:szCs w:val="24"/>
        </w:rPr>
        <w:t>:</w:t>
      </w:r>
    </w:p>
    <w:p w:rsidR="00B86AFF" w:rsidRPr="007D5F7E" w:rsidRDefault="00B86AFF" w:rsidP="00B86AFF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7D5F7E">
        <w:rPr>
          <w:sz w:val="24"/>
          <w:szCs w:val="24"/>
        </w:rPr>
        <w:t>способность работать самостоятельно;</w:t>
      </w:r>
    </w:p>
    <w:p w:rsidR="00B86AFF" w:rsidRPr="000C50EB" w:rsidRDefault="00B86AFF" w:rsidP="00B86AFF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 w:rsidRPr="007D5F7E">
        <w:rPr>
          <w:sz w:val="24"/>
          <w:szCs w:val="24"/>
        </w:rPr>
        <w:t>способность принимать участие в инженерных разработках среднего уровня сложности в составе коллектива;</w:t>
      </w:r>
    </w:p>
    <w:p w:rsidR="00B86AFF" w:rsidRPr="007B6782" w:rsidRDefault="00B86AFF" w:rsidP="00B86AFF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4"/>
        </w:rPr>
      </w:pPr>
      <w:r>
        <w:rPr>
          <w:iCs/>
          <w:color w:val="000000"/>
          <w:sz w:val="24"/>
          <w:szCs w:val="24"/>
        </w:rPr>
        <w:t>способность использовать методы определения нормативных уровней допустимых негативных воздействий на человека и природную среду.</w:t>
      </w:r>
    </w:p>
    <w:p w:rsidR="00B86AFF" w:rsidRDefault="00B86AFF" w:rsidP="00B86AFF">
      <w:pPr>
        <w:ind w:firstLine="708"/>
        <w:jc w:val="both"/>
        <w:rPr>
          <w:sz w:val="24"/>
        </w:rPr>
      </w:pPr>
      <w:r w:rsidRPr="005B6CB6">
        <w:rPr>
          <w:bCs/>
          <w:color w:val="000000"/>
          <w:sz w:val="24"/>
          <w:szCs w:val="24"/>
        </w:rPr>
        <w:t xml:space="preserve">Результаты освоения дисциплины будут необходимы для дальнейшего процесса обучения </w:t>
      </w:r>
      <w:r w:rsidRPr="005B6CB6">
        <w:rPr>
          <w:sz w:val="24"/>
        </w:rPr>
        <w:t xml:space="preserve">в рамках поэтапного формирования компетенций </w:t>
      </w:r>
      <w:r w:rsidRPr="005B6CB6">
        <w:rPr>
          <w:bCs/>
          <w:color w:val="000000"/>
          <w:sz w:val="24"/>
          <w:szCs w:val="24"/>
        </w:rPr>
        <w:t>при</w:t>
      </w:r>
      <w:r w:rsidRPr="005B6CB6">
        <w:rPr>
          <w:sz w:val="24"/>
        </w:rPr>
        <w:t xml:space="preserve"> изучении следующих специальных дисциплин:</w:t>
      </w:r>
    </w:p>
    <w:p w:rsidR="00B86AFF" w:rsidRPr="00180809" w:rsidRDefault="00B86AFF" w:rsidP="00B86AF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 w:rsidRPr="00180809">
        <w:rPr>
          <w:sz w:val="24"/>
        </w:rPr>
        <w:t xml:space="preserve"> «</w:t>
      </w:r>
      <w:r>
        <w:rPr>
          <w:sz w:val="24"/>
        </w:rPr>
        <w:t>Спасательная техника и базовые машины»;</w:t>
      </w:r>
    </w:p>
    <w:p w:rsidR="00B86AFF" w:rsidRDefault="00B86AFF" w:rsidP="00B86AFF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sz w:val="24"/>
        </w:rPr>
        <w:t>«Средства и способы радиационной и химической защиты».</w:t>
      </w:r>
    </w:p>
    <w:p w:rsidR="00B86AFF" w:rsidRPr="00180809" w:rsidRDefault="00B86AFF" w:rsidP="00B86AFF">
      <w:pPr>
        <w:tabs>
          <w:tab w:val="left" w:pos="993"/>
        </w:tabs>
        <w:jc w:val="both"/>
        <w:rPr>
          <w:sz w:val="24"/>
        </w:rPr>
      </w:pPr>
      <w:r w:rsidRPr="0081018C">
        <w:rPr>
          <w:sz w:val="24"/>
        </w:rPr>
        <w:t>а также для прохождения учебной, производственной и преддипломной практик, государственной итоговой аттестации.</w:t>
      </w:r>
    </w:p>
    <w:p w:rsidR="0093283E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освоения дисциплины</w:t>
      </w:r>
    </w:p>
    <w:tbl>
      <w:tblPr>
        <w:tblStyle w:val="a6"/>
        <w:tblW w:w="0" w:type="auto"/>
        <w:tblInd w:w="1069" w:type="dxa"/>
        <w:tblLook w:val="04A0" w:firstRow="1" w:lastRow="0" w:firstColumn="1" w:lastColumn="0" w:noHBand="0" w:noVBand="1"/>
      </w:tblPr>
      <w:tblGrid>
        <w:gridCol w:w="2572"/>
        <w:gridCol w:w="5704"/>
      </w:tblGrid>
      <w:tr w:rsidR="00615729" w:rsidRPr="00D011EA" w:rsidTr="00236708">
        <w:tc>
          <w:tcPr>
            <w:tcW w:w="2572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Код и наименование реализуемой компетенции</w:t>
            </w:r>
          </w:p>
        </w:tc>
        <w:tc>
          <w:tcPr>
            <w:tcW w:w="5704" w:type="dxa"/>
            <w:shd w:val="clear" w:color="auto" w:fill="F2F2F2" w:themeFill="background1" w:themeFillShade="F2"/>
          </w:tcPr>
          <w:p w:rsidR="00615729" w:rsidRPr="003D767D" w:rsidRDefault="00615729" w:rsidP="00EE45B7">
            <w:pPr>
              <w:pStyle w:val="a5"/>
              <w:ind w:left="0"/>
              <w:jc w:val="center"/>
              <w:rPr>
                <w:b/>
                <w:sz w:val="24"/>
                <w:szCs w:val="24"/>
              </w:rPr>
            </w:pPr>
            <w:r w:rsidRPr="003D767D">
              <w:rPr>
                <w:b/>
                <w:sz w:val="24"/>
                <w:szCs w:val="24"/>
              </w:rPr>
              <w:t>Перечень планируемых результатов обучения по дисциплине (модулю), соотнесенных с индикаторами достижения компетенций</w:t>
            </w:r>
          </w:p>
        </w:tc>
      </w:tr>
      <w:tr w:rsidR="005711A8" w:rsidRPr="00D011EA" w:rsidTr="00236708">
        <w:tc>
          <w:tcPr>
            <w:tcW w:w="2572" w:type="dxa"/>
          </w:tcPr>
          <w:p w:rsidR="005711A8" w:rsidRPr="003D767D" w:rsidRDefault="005711A8" w:rsidP="005711A8">
            <w:pPr>
              <w:pStyle w:val="a5"/>
              <w:ind w:left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 – 7 – способность</w:t>
            </w:r>
            <w:r w:rsidRPr="00E73ADC">
              <w:rPr>
                <w:color w:val="000000"/>
                <w:sz w:val="24"/>
                <w:szCs w:val="24"/>
              </w:rPr>
              <w:t xml:space="preserve"> организовывать и проводить </w:t>
            </w:r>
            <w:r w:rsidRPr="00E73ADC">
              <w:rPr>
                <w:color w:val="000000"/>
                <w:sz w:val="24"/>
                <w:szCs w:val="24"/>
              </w:rPr>
              <w:lastRenderedPageBreak/>
              <w:t>техническое обслуживание, ремонт, консервацию и хранение средств защиты, контролировать состояние используемых средств защиты, принимать решения по замене (регенерации) средства защиты</w:t>
            </w:r>
          </w:p>
        </w:tc>
        <w:tc>
          <w:tcPr>
            <w:tcW w:w="5704" w:type="dxa"/>
          </w:tcPr>
          <w:p w:rsidR="005711A8" w:rsidRDefault="005711A8" w:rsidP="005711A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 w:rsidRPr="003D767D">
              <w:rPr>
                <w:sz w:val="24"/>
                <w:szCs w:val="24"/>
              </w:rPr>
              <w:lastRenderedPageBreak/>
              <w:t>Знать:</w:t>
            </w:r>
          </w:p>
          <w:p w:rsidR="005711A8" w:rsidRPr="00C10E81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 xml:space="preserve">содержание мероприятий, организацию их проведения и всестороннего материального и </w:t>
            </w:r>
            <w:r w:rsidRPr="00C10E81">
              <w:rPr>
                <w:sz w:val="24"/>
                <w:szCs w:val="24"/>
              </w:rPr>
              <w:lastRenderedPageBreak/>
              <w:t>технического обеспечения при ликвидации последствий аварий, катастроф и стихийных бедствий;</w:t>
            </w:r>
          </w:p>
          <w:p w:rsidR="005711A8" w:rsidRPr="00C10E81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организацию подготовки и обеспечения проводимых спасательных и других неотложных работ в районах ЧС;</w:t>
            </w:r>
          </w:p>
          <w:p w:rsidR="005711A8" w:rsidRPr="00C10E81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 xml:space="preserve">силы и средства органов управления и службы материального и </w:t>
            </w:r>
            <w:proofErr w:type="gramStart"/>
            <w:r w:rsidRPr="00C10E81">
              <w:rPr>
                <w:sz w:val="24"/>
                <w:szCs w:val="24"/>
              </w:rPr>
              <w:t>технического  обеспечения</w:t>
            </w:r>
            <w:proofErr w:type="gramEnd"/>
            <w:r w:rsidRPr="00C10E81">
              <w:rPr>
                <w:sz w:val="24"/>
                <w:szCs w:val="24"/>
              </w:rPr>
              <w:t>, их состав, назначение, возможности и порядок использования;</w:t>
            </w:r>
          </w:p>
          <w:p w:rsidR="005711A8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 xml:space="preserve">порядок использования транспортных </w:t>
            </w:r>
            <w:proofErr w:type="gramStart"/>
            <w:r w:rsidRPr="00C10E81">
              <w:rPr>
                <w:sz w:val="24"/>
                <w:szCs w:val="24"/>
              </w:rPr>
              <w:t>средств  при</w:t>
            </w:r>
            <w:proofErr w:type="gramEnd"/>
            <w:r w:rsidRPr="00C10E81">
              <w:rPr>
                <w:sz w:val="24"/>
                <w:szCs w:val="24"/>
              </w:rPr>
              <w:t xml:space="preserve"> выполнении мероприятий ГО.</w:t>
            </w:r>
          </w:p>
          <w:p w:rsidR="005711A8" w:rsidRDefault="005711A8" w:rsidP="005711A8">
            <w:pPr>
              <w:pStyle w:val="a3"/>
              <w:tabs>
                <w:tab w:val="clear" w:pos="4677"/>
                <w:tab w:val="center" w:pos="34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Уметь:</w:t>
            </w:r>
          </w:p>
          <w:p w:rsidR="005711A8" w:rsidRPr="00C10E81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 xml:space="preserve">применять полученные знания в практической деятельности по планированию и организации материального </w:t>
            </w:r>
            <w:proofErr w:type="gramStart"/>
            <w:r w:rsidRPr="00C10E81">
              <w:rPr>
                <w:sz w:val="24"/>
                <w:szCs w:val="24"/>
              </w:rPr>
              <w:t>и  технического</w:t>
            </w:r>
            <w:proofErr w:type="gramEnd"/>
            <w:r w:rsidRPr="00C10E81">
              <w:rPr>
                <w:sz w:val="24"/>
                <w:szCs w:val="24"/>
              </w:rPr>
              <w:t xml:space="preserve"> обеспечения в ходе решения задач по предупреждению и ликвидации последствий чрезвычайных ситуаций техногенного, природного и военного характера;</w:t>
            </w:r>
          </w:p>
          <w:p w:rsidR="005711A8" w:rsidRPr="00C10E81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производить расчеты потребности и обеспеченности материально-техническими средствами и имуществом мероприятий РСЧС и ГО;</w:t>
            </w:r>
          </w:p>
          <w:p w:rsidR="005711A8" w:rsidRPr="00E73ADC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делать обоснованные выводы для принятия решения по материально-техническому обеспечению сил и средств РСЧС и ГО</w:t>
            </w:r>
            <w:r>
              <w:rPr>
                <w:sz w:val="24"/>
                <w:szCs w:val="24"/>
              </w:rPr>
              <w:t>.</w:t>
            </w:r>
          </w:p>
          <w:p w:rsidR="005711A8" w:rsidRDefault="005711A8" w:rsidP="005711A8">
            <w:pPr>
              <w:pStyle w:val="a3"/>
              <w:tabs>
                <w:tab w:val="clear" w:pos="4677"/>
                <w:tab w:val="center" w:pos="3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Владеть:</w:t>
            </w:r>
          </w:p>
          <w:p w:rsidR="005711A8" w:rsidRPr="00CD1788" w:rsidRDefault="005711A8" w:rsidP="005711A8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325" w:hanging="325"/>
              <w:jc w:val="both"/>
              <w:rPr>
                <w:sz w:val="24"/>
                <w:szCs w:val="24"/>
              </w:rPr>
            </w:pPr>
            <w:r w:rsidRPr="00C10E81">
              <w:rPr>
                <w:sz w:val="24"/>
                <w:szCs w:val="24"/>
              </w:rPr>
              <w:t>оценкой состояния сил и средств материального и технического обеспечения РСЧС и ГО.</w:t>
            </w:r>
          </w:p>
        </w:tc>
      </w:tr>
    </w:tbl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lastRenderedPageBreak/>
        <w:t>Общая трудоемкость дисциплины</w:t>
      </w:r>
    </w:p>
    <w:p w:rsidR="0093283E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>
        <w:rPr>
          <w:rFonts w:ascii="TimesNewRomanPSMT" w:hAnsi="TimesNewRomanPSMT" w:cs="TimesNewRomanPSMT"/>
          <w:b w:val="0"/>
        </w:rPr>
        <w:t xml:space="preserve">Общая трудоемкость </w:t>
      </w:r>
      <w:r w:rsidRPr="005D1E93">
        <w:rPr>
          <w:rFonts w:ascii="TimesNewRomanPSMT" w:hAnsi="TimesNewRomanPSMT" w:cs="TimesNewRomanPSMT"/>
          <w:b w:val="0"/>
        </w:rPr>
        <w:t xml:space="preserve">дисциплины составляет </w:t>
      </w:r>
      <w:r w:rsidR="00566CE9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зачетны</w:t>
      </w:r>
      <w:r w:rsidR="00566CE9">
        <w:rPr>
          <w:rFonts w:ascii="TimesNewRomanPSMT" w:hAnsi="TimesNewRomanPSMT" w:cs="TimesNewRomanPSMT"/>
          <w:b w:val="0"/>
        </w:rPr>
        <w:t>е</w:t>
      </w:r>
      <w:r w:rsidRPr="005D1E93">
        <w:rPr>
          <w:rFonts w:ascii="TimesNewRomanPSMT" w:hAnsi="TimesNewRomanPSMT" w:cs="TimesNewRomanPSMT"/>
          <w:b w:val="0"/>
        </w:rPr>
        <w:t xml:space="preserve"> единиц</w:t>
      </w:r>
      <w:r w:rsidR="00566CE9">
        <w:rPr>
          <w:rFonts w:ascii="TimesNewRomanPSMT" w:hAnsi="TimesNewRomanPSMT" w:cs="TimesNewRomanPSMT"/>
          <w:b w:val="0"/>
        </w:rPr>
        <w:t>ы</w:t>
      </w:r>
      <w:r w:rsidRPr="005D1E93">
        <w:rPr>
          <w:rFonts w:ascii="TimesNewRomanPSMT" w:hAnsi="TimesNewRomanPSMT" w:cs="TimesNewRomanPSMT"/>
          <w:b w:val="0"/>
        </w:rPr>
        <w:t xml:space="preserve"> (</w:t>
      </w:r>
      <w:r w:rsidR="009977D2">
        <w:rPr>
          <w:rFonts w:ascii="TimesNewRomanPSMT" w:hAnsi="TimesNewRomanPSMT" w:cs="TimesNewRomanPSMT"/>
          <w:b w:val="0"/>
        </w:rPr>
        <w:t>144</w:t>
      </w:r>
      <w:r>
        <w:rPr>
          <w:rFonts w:ascii="TimesNewRomanPSMT" w:hAnsi="TimesNewRomanPSMT" w:cs="TimesNewRomanPSMT"/>
          <w:b w:val="0"/>
        </w:rPr>
        <w:t xml:space="preserve"> </w:t>
      </w:r>
      <w:r w:rsidRPr="005D1E93">
        <w:rPr>
          <w:rFonts w:ascii="TimesNewRomanPSMT" w:hAnsi="TimesNewRomanPSMT" w:cs="TimesNewRomanPSMT"/>
          <w:b w:val="0"/>
        </w:rPr>
        <w:t>час</w:t>
      </w:r>
      <w:r w:rsidR="009977D2">
        <w:rPr>
          <w:rFonts w:ascii="TimesNewRomanPSMT" w:hAnsi="TimesNewRomanPSMT" w:cs="TimesNewRomanPSMT"/>
          <w:b w:val="0"/>
        </w:rPr>
        <w:t>а</w:t>
      </w:r>
      <w:bookmarkStart w:id="0" w:name="_GoBack"/>
      <w:bookmarkEnd w:id="0"/>
      <w:r w:rsidRPr="005D1E93">
        <w:rPr>
          <w:rFonts w:ascii="TimesNewRomanPSMT" w:hAnsi="TimesNewRomanPSMT" w:cs="TimesNewRomanPSMT"/>
          <w:b w:val="0"/>
        </w:rPr>
        <w:t>)</w:t>
      </w:r>
      <w:r>
        <w:rPr>
          <w:rFonts w:ascii="TimesNewRomanPSMT" w:hAnsi="TimesNewRomanPSMT" w:cs="TimesNewRomanPSMT"/>
          <w:b w:val="0"/>
        </w:rPr>
        <w:t>.</w:t>
      </w:r>
    </w:p>
    <w:p w:rsidR="0093283E" w:rsidRPr="005D1E93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93283E" w:rsidRPr="004A3DF0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4A3DF0">
        <w:rPr>
          <w:sz w:val="28"/>
          <w:szCs w:val="28"/>
        </w:rPr>
        <w:t>Образовательные технологии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 xml:space="preserve">В ходе изучения дисциплины используются как традиционные методы и формы обучения (лекции, в </w:t>
      </w:r>
      <w:proofErr w:type="spellStart"/>
      <w:r w:rsidRPr="006C08C6">
        <w:rPr>
          <w:rFonts w:ascii="TimesNewRomanPSMT" w:hAnsi="TimesNewRomanPSMT" w:cs="TimesNewRomanPSMT"/>
          <w:b w:val="0"/>
        </w:rPr>
        <w:t>т.ч</w:t>
      </w:r>
      <w:proofErr w:type="spellEnd"/>
      <w:r w:rsidRPr="006C08C6">
        <w:rPr>
          <w:rFonts w:ascii="TimesNewRomanPSMT" w:hAnsi="TimesNewRomanPSMT" w:cs="TimesNewRomanPSMT"/>
          <w:b w:val="0"/>
        </w:rPr>
        <w:t>. с элементами проблемного изложения, практические занятия, самостоятельная работа), так и интерактивные формы проведения занятий (дискуссии, деловые игры, решение ситуационных задач и др.).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При организации самостоятельной работы используются следующие образовательные технологии: самостоятельная работа, сопряженная с основными аудиторными занятиями (проработка учебного материала с использованием ресурсов учебно-методического и информационного обеспечения дисциплины); подготовка к тестированию; самостоятельная работа под контролем преподавателя в форме плановых консультаций, творческих контактов, сдаче экзамена; внеаудиторная самостоятельная работа при выполнении студентом домашних заданий учебного и творческого характера.</w:t>
      </w:r>
    </w:p>
    <w:p w:rsidR="0093283E" w:rsidRPr="004A3DF0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</w:p>
    <w:p w:rsidR="0093283E" w:rsidRPr="005D1E93" w:rsidRDefault="0093283E" w:rsidP="0093283E">
      <w:pPr>
        <w:pStyle w:val="1"/>
        <w:tabs>
          <w:tab w:val="clear" w:pos="720"/>
          <w:tab w:val="num" w:pos="284"/>
        </w:tabs>
        <w:spacing w:before="0" w:after="120"/>
        <w:ind w:left="0" w:firstLine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93283E" w:rsidRPr="006C08C6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6C08C6">
        <w:rPr>
          <w:rFonts w:ascii="TimesNewRomanPSMT" w:hAnsi="TimesNewRomanPSMT" w:cs="TimesNewRomanPSMT"/>
          <w:b w:val="0"/>
        </w:rPr>
        <w:t>Программой дисциплины предусмотрены виды текущего контроля: тестирование, устный опрос на семинарском занятии, деловая игра.</w:t>
      </w:r>
    </w:p>
    <w:p w:rsidR="0093283E" w:rsidRPr="007F3E35" w:rsidRDefault="0093283E" w:rsidP="0093283E">
      <w:pPr>
        <w:pStyle w:val="1"/>
        <w:numPr>
          <w:ilvl w:val="0"/>
          <w:numId w:val="0"/>
        </w:numPr>
        <w:spacing w:before="0" w:after="0"/>
        <w:ind w:firstLine="709"/>
        <w:jc w:val="both"/>
        <w:rPr>
          <w:rFonts w:ascii="TimesNewRomanPSMT" w:hAnsi="TimesNewRomanPSMT" w:cs="TimesNewRomanPSMT"/>
          <w:b w:val="0"/>
        </w:rPr>
      </w:pPr>
      <w:r w:rsidRPr="007F3E35">
        <w:rPr>
          <w:rFonts w:ascii="TimesNewRomanPSMT" w:hAnsi="TimesNewRomanPSMT" w:cs="TimesNewRomanPSMT"/>
          <w:b w:val="0"/>
        </w:rPr>
        <w:t>Промежуточная аттестация проводится в форме:</w:t>
      </w:r>
      <w:r w:rsidR="00CB0EC9">
        <w:rPr>
          <w:rFonts w:ascii="TimesNewRomanPSMT" w:hAnsi="TimesNewRomanPSMT" w:cs="TimesNewRomanPSMT"/>
          <w:b w:val="0"/>
        </w:rPr>
        <w:t xml:space="preserve"> </w:t>
      </w:r>
      <w:r w:rsidR="00E25619">
        <w:rPr>
          <w:rFonts w:ascii="TimesNewRomanPSMT" w:hAnsi="TimesNewRomanPSMT" w:cs="TimesNewRomanPSMT"/>
        </w:rPr>
        <w:t>экзамен</w:t>
      </w:r>
      <w:r>
        <w:rPr>
          <w:rFonts w:ascii="TimesNewRomanPSMT" w:hAnsi="TimesNewRomanPSMT" w:cs="TimesNewRomanPSMT"/>
          <w:b w:val="0"/>
        </w:rPr>
        <w:t>.</w:t>
      </w:r>
    </w:p>
    <w:p w:rsidR="00E97E19" w:rsidRDefault="00E97E19"/>
    <w:sectPr w:rsidR="00E9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03B59"/>
    <w:multiLevelType w:val="hybridMultilevel"/>
    <w:tmpl w:val="B31A9E58"/>
    <w:lvl w:ilvl="0" w:tplc="3A9CEC3C">
      <w:start w:val="1"/>
      <w:numFmt w:val="bullet"/>
      <w:lvlText w:val=""/>
      <w:lvlJc w:val="left"/>
      <w:pPr>
        <w:ind w:left="1288" w:hanging="360"/>
      </w:pPr>
      <w:rPr>
        <w:rFonts w:ascii="Symbol" w:hAnsi="Symbol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2EC0B04"/>
    <w:multiLevelType w:val="hybridMultilevel"/>
    <w:tmpl w:val="10F6F07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EC51D2"/>
    <w:multiLevelType w:val="hybridMultilevel"/>
    <w:tmpl w:val="64347322"/>
    <w:lvl w:ilvl="0" w:tplc="4F9218CE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1DAB539E"/>
    <w:multiLevelType w:val="hybridMultilevel"/>
    <w:tmpl w:val="454E21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A540A4"/>
    <w:multiLevelType w:val="hybridMultilevel"/>
    <w:tmpl w:val="68BC5626"/>
    <w:lvl w:ilvl="0" w:tplc="4C8AD9FC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E0067AF"/>
    <w:multiLevelType w:val="hybridMultilevel"/>
    <w:tmpl w:val="F9E2E9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601252"/>
    <w:multiLevelType w:val="hybridMultilevel"/>
    <w:tmpl w:val="0E5C2A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9B78DE"/>
    <w:multiLevelType w:val="hybridMultilevel"/>
    <w:tmpl w:val="37F8A9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D7C6B1B"/>
    <w:multiLevelType w:val="hybridMultilevel"/>
    <w:tmpl w:val="250CA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35F5660"/>
    <w:multiLevelType w:val="hybridMultilevel"/>
    <w:tmpl w:val="DF8C8A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5B333B4"/>
    <w:multiLevelType w:val="hybridMultilevel"/>
    <w:tmpl w:val="712626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E3"/>
    <w:rsid w:val="00175307"/>
    <w:rsid w:val="001D2B65"/>
    <w:rsid w:val="00236708"/>
    <w:rsid w:val="00314710"/>
    <w:rsid w:val="003279EA"/>
    <w:rsid w:val="004074FD"/>
    <w:rsid w:val="00566CE9"/>
    <w:rsid w:val="005711A8"/>
    <w:rsid w:val="00595DC9"/>
    <w:rsid w:val="005D77BA"/>
    <w:rsid w:val="005F6C2B"/>
    <w:rsid w:val="005F6FAF"/>
    <w:rsid w:val="00611A30"/>
    <w:rsid w:val="00615729"/>
    <w:rsid w:val="006660B9"/>
    <w:rsid w:val="0093283E"/>
    <w:rsid w:val="00942885"/>
    <w:rsid w:val="009977D2"/>
    <w:rsid w:val="00A82D72"/>
    <w:rsid w:val="00B267F6"/>
    <w:rsid w:val="00B75EA6"/>
    <w:rsid w:val="00B86AFF"/>
    <w:rsid w:val="00C566E3"/>
    <w:rsid w:val="00CB0EC9"/>
    <w:rsid w:val="00DB3D74"/>
    <w:rsid w:val="00E25619"/>
    <w:rsid w:val="00E8676F"/>
    <w:rsid w:val="00E97E19"/>
    <w:rsid w:val="00F258C0"/>
    <w:rsid w:val="00F800EE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F7D1"/>
  <w15:chartTrackingRefBased/>
  <w15:docId w15:val="{ED939052-E0B7-4382-8070-413B1D3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 типа 1."/>
    <w:basedOn w:val="a"/>
    <w:rsid w:val="0093283E"/>
    <w:pPr>
      <w:numPr>
        <w:numId w:val="1"/>
      </w:numPr>
      <w:spacing w:before="240" w:after="6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3283E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595D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59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5729"/>
    <w:pPr>
      <w:ind w:left="720"/>
      <w:contextualSpacing/>
    </w:pPr>
    <w:rPr>
      <w:rFonts w:eastAsia="Calibri"/>
    </w:rPr>
  </w:style>
  <w:style w:type="table" w:styleId="a6">
    <w:name w:val="Table Grid"/>
    <w:basedOn w:val="a1"/>
    <w:uiPriority w:val="59"/>
    <w:rsid w:val="00615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Buzina</dc:creator>
  <cp:keywords/>
  <dc:description/>
  <cp:lastModifiedBy>Ksenia Buzina</cp:lastModifiedBy>
  <cp:revision>31</cp:revision>
  <dcterms:created xsi:type="dcterms:W3CDTF">2019-08-29T21:39:00Z</dcterms:created>
  <dcterms:modified xsi:type="dcterms:W3CDTF">2019-08-29T22:07:00Z</dcterms:modified>
</cp:coreProperties>
</file>