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r w:rsidR="00D34DDD" w:rsidRPr="00D34DDD">
        <w:rPr>
          <w:rFonts w:ascii="TimesNewRomanPSMT" w:hAnsi="TimesNewRomanPSMT" w:cs="TimesNewRomanPSMT"/>
          <w:b/>
          <w:sz w:val="28"/>
          <w:szCs w:val="28"/>
        </w:rPr>
        <w:t>Противопожарное водоснабжение</w:t>
      </w:r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8A0701" w:rsidRPr="004F586F" w:rsidRDefault="008A0701" w:rsidP="008A0701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4F586F">
        <w:rPr>
          <w:rFonts w:ascii="Times New Roman" w:hAnsi="Times New Roman"/>
        </w:rPr>
        <w:t>приобретение прочных знаний по предмету противопожарное водоснабжение;</w:t>
      </w:r>
    </w:p>
    <w:p w:rsidR="008A0701" w:rsidRPr="004F586F" w:rsidRDefault="008A0701" w:rsidP="008A0701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4F586F">
        <w:rPr>
          <w:rFonts w:ascii="Times New Roman" w:hAnsi="Times New Roman"/>
        </w:rPr>
        <w:t>изучение опасности чрезвычайных ситуаций, их источники и причины возникновения, их уровни, характерные для наиболее энергоемких производств и процессов;</w:t>
      </w:r>
    </w:p>
    <w:p w:rsidR="008A0701" w:rsidRPr="004F586F" w:rsidRDefault="008A0701" w:rsidP="008A0701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4F586F">
        <w:rPr>
          <w:rFonts w:ascii="Times New Roman" w:hAnsi="Times New Roman"/>
        </w:rPr>
        <w:t>освоение основных направлений профилактических мероприятий по повышению противопожарного водоснабжения в чрезвычайных ситуациях.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8A0701" w:rsidRPr="00586BB4" w:rsidRDefault="008A0701" w:rsidP="008A0701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586BB4">
        <w:rPr>
          <w:rFonts w:ascii="Times New Roman" w:hAnsi="Times New Roman"/>
        </w:rPr>
        <w:t>изучить теоретические основы противопожарного водоснабжения и его характеристики;</w:t>
      </w:r>
    </w:p>
    <w:p w:rsidR="008A0701" w:rsidRPr="00586BB4" w:rsidRDefault="008A0701" w:rsidP="008A0701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586BB4">
        <w:rPr>
          <w:rFonts w:ascii="Times New Roman" w:hAnsi="Times New Roman"/>
        </w:rPr>
        <w:t>освоить практические навыки при ликвидации чрезвычайных ситуаций;</w:t>
      </w:r>
    </w:p>
    <w:p w:rsidR="0093283E" w:rsidRPr="00BB3697" w:rsidRDefault="008A0701" w:rsidP="00BB3697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586BB4">
        <w:rPr>
          <w:rFonts w:ascii="Times New Roman" w:hAnsi="Times New Roman"/>
        </w:rPr>
        <w:t xml:space="preserve">формирование у студентов твердых знаний методов оценки опасностей в </w:t>
      </w:r>
      <w:proofErr w:type="spellStart"/>
      <w:r w:rsidRPr="00586BB4">
        <w:rPr>
          <w:rFonts w:ascii="Times New Roman" w:hAnsi="Times New Roman"/>
        </w:rPr>
        <w:t>техносфере</w:t>
      </w:r>
      <w:proofErr w:type="spellEnd"/>
      <w:r w:rsidRPr="00586BB4">
        <w:rPr>
          <w:rFonts w:ascii="Times New Roman" w:hAnsi="Times New Roman"/>
        </w:rPr>
        <w:t>, прогнозирования последствий чрезвычайных ситуаций техногенного характера и моделирования сценария развития аварийных ситуаций в промышленности.</w:t>
      </w: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BB3697" w:rsidRPr="00E3118D" w:rsidRDefault="00BB3697" w:rsidP="00BB3697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118D">
        <w:rPr>
          <w:sz w:val="24"/>
          <w:szCs w:val="24"/>
        </w:rPr>
        <w:t>Дисциплина «</w:t>
      </w:r>
      <w:r>
        <w:rPr>
          <w:sz w:val="24"/>
        </w:rPr>
        <w:t>Противопожарное водоснабжение</w:t>
      </w:r>
      <w:r w:rsidRPr="00636107">
        <w:rPr>
          <w:sz w:val="24"/>
        </w:rPr>
        <w:t>»</w:t>
      </w:r>
      <w:r w:rsidRPr="00E3118D">
        <w:rPr>
          <w:sz w:val="24"/>
          <w:szCs w:val="24"/>
        </w:rPr>
        <w:t xml:space="preserve"> относится к </w:t>
      </w:r>
      <w:r w:rsidRPr="00AF0076">
        <w:rPr>
          <w:sz w:val="24"/>
          <w:szCs w:val="24"/>
        </w:rPr>
        <w:t>вариативной части Профессионального цикла. Данная дисциплина является одной из профилирующих</w:t>
      </w:r>
      <w:r w:rsidRPr="00E3118D">
        <w:rPr>
          <w:sz w:val="24"/>
          <w:szCs w:val="24"/>
        </w:rPr>
        <w:t xml:space="preserve"> дисциплин в системе подготовки бакалавра по направлению </w:t>
      </w:r>
      <w:r>
        <w:rPr>
          <w:sz w:val="24"/>
          <w:szCs w:val="24"/>
        </w:rPr>
        <w:t>20.03</w:t>
      </w:r>
      <w:r w:rsidRPr="00E311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E3118D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Техносферная</w:t>
      </w:r>
      <w:proofErr w:type="spellEnd"/>
      <w:r>
        <w:rPr>
          <w:sz w:val="24"/>
          <w:szCs w:val="24"/>
        </w:rPr>
        <w:t xml:space="preserve"> безопасность</w:t>
      </w:r>
      <w:r w:rsidRPr="00E3118D">
        <w:rPr>
          <w:sz w:val="24"/>
          <w:szCs w:val="24"/>
        </w:rPr>
        <w:t xml:space="preserve">». </w:t>
      </w:r>
    </w:p>
    <w:p w:rsidR="00BB3697" w:rsidRPr="007647D2" w:rsidRDefault="00BB3697" w:rsidP="00BB3697">
      <w:pPr>
        <w:ind w:firstLine="708"/>
        <w:jc w:val="both"/>
        <w:rPr>
          <w:color w:val="FF0000"/>
          <w:sz w:val="24"/>
        </w:rPr>
      </w:pPr>
      <w:r w:rsidRPr="0030453C">
        <w:rPr>
          <w:sz w:val="24"/>
        </w:rPr>
        <w:t xml:space="preserve">Она читается в </w:t>
      </w:r>
      <w:r>
        <w:rPr>
          <w:sz w:val="24"/>
        </w:rPr>
        <w:t>7</w:t>
      </w:r>
      <w:r w:rsidRPr="0030453C">
        <w:rPr>
          <w:sz w:val="24"/>
        </w:rPr>
        <w:t xml:space="preserve">-ом семестре </w:t>
      </w:r>
      <w:r>
        <w:rPr>
          <w:sz w:val="24"/>
        </w:rPr>
        <w:t>4</w:t>
      </w:r>
      <w:r w:rsidRPr="0030453C">
        <w:rPr>
          <w:sz w:val="24"/>
        </w:rPr>
        <w:t>-ого курса студентам очной</w:t>
      </w:r>
      <w:r>
        <w:rPr>
          <w:sz w:val="24"/>
        </w:rPr>
        <w:t xml:space="preserve"> </w:t>
      </w:r>
      <w:r w:rsidRPr="0030453C">
        <w:rPr>
          <w:sz w:val="24"/>
        </w:rPr>
        <w:t>формы обучения</w:t>
      </w:r>
      <w:r w:rsidRPr="007647D2">
        <w:rPr>
          <w:color w:val="FF0000"/>
          <w:sz w:val="24"/>
        </w:rPr>
        <w:t xml:space="preserve"> </w:t>
      </w:r>
      <w:r w:rsidRPr="00710D8B">
        <w:rPr>
          <w:sz w:val="24"/>
        </w:rPr>
        <w:t>и основывается на следующих входных знаниях, умениях, навыках и компетенциях студента, полученных им при изучении предшествующих дисциплин:</w:t>
      </w:r>
    </w:p>
    <w:p w:rsidR="00BB3697" w:rsidRPr="000A6245" w:rsidRDefault="00BB3697" w:rsidP="00BB3697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710D8B">
        <w:rPr>
          <w:sz w:val="24"/>
          <w:szCs w:val="24"/>
        </w:rPr>
        <w:t xml:space="preserve">способность </w:t>
      </w:r>
      <w:r w:rsidRPr="00017F73">
        <w:rPr>
          <w:sz w:val="24"/>
          <w:szCs w:val="24"/>
        </w:rPr>
        <w:t>использовать законы и методы математики, естественных, гуманитарных и экономических наук при решении профессиональных задач</w:t>
      </w:r>
      <w:r>
        <w:rPr>
          <w:sz w:val="24"/>
          <w:szCs w:val="24"/>
        </w:rPr>
        <w:t>;</w:t>
      </w:r>
    </w:p>
    <w:p w:rsidR="00BB3697" w:rsidRPr="000A6245" w:rsidRDefault="00BB3697" w:rsidP="00BB3697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работать самостоятельно</w:t>
      </w:r>
      <w:r>
        <w:rPr>
          <w:sz w:val="24"/>
          <w:szCs w:val="24"/>
        </w:rPr>
        <w:t>;</w:t>
      </w:r>
    </w:p>
    <w:p w:rsidR="00BB3697" w:rsidRPr="000A6245" w:rsidRDefault="00BB3697" w:rsidP="00BB3697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принимать участие в инженерных разработках среднего уровня сложности в составе коллектива</w:t>
      </w:r>
      <w:r>
        <w:rPr>
          <w:sz w:val="24"/>
          <w:szCs w:val="24"/>
        </w:rPr>
        <w:t>;</w:t>
      </w:r>
    </w:p>
    <w:p w:rsidR="00BB3697" w:rsidRDefault="00BB3697" w:rsidP="00BB3697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855E7E">
        <w:rPr>
          <w:sz w:val="24"/>
          <w:szCs w:val="24"/>
        </w:rPr>
        <w:t xml:space="preserve"> ориентироваться в перспективах развития техники и технологии за</w:t>
      </w:r>
      <w:r>
        <w:rPr>
          <w:sz w:val="24"/>
          <w:szCs w:val="24"/>
        </w:rPr>
        <w:t xml:space="preserve">щиты человека </w:t>
      </w:r>
      <w:r w:rsidRPr="00855E7E">
        <w:rPr>
          <w:sz w:val="24"/>
          <w:szCs w:val="24"/>
        </w:rPr>
        <w:t>от опасн</w:t>
      </w:r>
      <w:r>
        <w:rPr>
          <w:sz w:val="24"/>
          <w:szCs w:val="24"/>
        </w:rPr>
        <w:t xml:space="preserve">остей техногенного </w:t>
      </w:r>
      <w:r w:rsidRPr="00855E7E">
        <w:rPr>
          <w:sz w:val="24"/>
          <w:szCs w:val="24"/>
        </w:rPr>
        <w:t>характера</w:t>
      </w:r>
      <w:r>
        <w:rPr>
          <w:sz w:val="24"/>
          <w:szCs w:val="24"/>
        </w:rPr>
        <w:t>.</w:t>
      </w:r>
    </w:p>
    <w:p w:rsidR="00BB3697" w:rsidRPr="000E3B8F" w:rsidRDefault="00BB3697" w:rsidP="00BB3697">
      <w:pPr>
        <w:ind w:firstLine="708"/>
        <w:jc w:val="both"/>
        <w:rPr>
          <w:sz w:val="24"/>
        </w:rPr>
      </w:pPr>
      <w:r w:rsidRPr="000E3B8F">
        <w:rPr>
          <w:sz w:val="24"/>
        </w:rPr>
        <w:t>Данная дисциплина является предшествующей для будущего изучения следующих специальных дисциплин:</w:t>
      </w:r>
    </w:p>
    <w:p w:rsidR="00BB3697" w:rsidRPr="00FA5FF0" w:rsidRDefault="00BB3697" w:rsidP="00BB369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FA5FF0">
        <w:rPr>
          <w:sz w:val="24"/>
        </w:rPr>
        <w:t xml:space="preserve"> «</w:t>
      </w:r>
      <w:r>
        <w:rPr>
          <w:sz w:val="24"/>
        </w:rPr>
        <w:t>Безопасность жизнедеятельности</w:t>
      </w:r>
      <w:r w:rsidRPr="00FA5FF0">
        <w:rPr>
          <w:sz w:val="24"/>
        </w:rPr>
        <w:t>»;</w:t>
      </w:r>
    </w:p>
    <w:p w:rsidR="00BB3697" w:rsidRPr="00FA5FF0" w:rsidRDefault="00BB3697" w:rsidP="00BB3697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FA5FF0">
        <w:rPr>
          <w:sz w:val="24"/>
        </w:rPr>
        <w:t>«</w:t>
      </w:r>
      <w:r>
        <w:rPr>
          <w:sz w:val="24"/>
        </w:rPr>
        <w:t>Надзор и контроль в сфере безопасности</w:t>
      </w:r>
      <w:r w:rsidRPr="00FA5FF0">
        <w:rPr>
          <w:sz w:val="24"/>
        </w:rPr>
        <w:t>»</w:t>
      </w:r>
      <w:r>
        <w:rPr>
          <w:sz w:val="24"/>
        </w:rPr>
        <w:t>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572"/>
        <w:gridCol w:w="5704"/>
      </w:tblGrid>
      <w:tr w:rsidR="00615729" w:rsidRPr="00D011EA" w:rsidTr="00236708">
        <w:tc>
          <w:tcPr>
            <w:tcW w:w="2572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 xml:space="preserve">Код и наименование реализуемой </w:t>
            </w:r>
            <w:r w:rsidRPr="003D767D">
              <w:rPr>
                <w:b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5704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lastRenderedPageBreak/>
              <w:t xml:space="preserve">Перечень планируемых результатов обучения по дисциплине (модулю), соотнесенных с </w:t>
            </w:r>
            <w:r w:rsidRPr="003D767D">
              <w:rPr>
                <w:b/>
                <w:sz w:val="24"/>
                <w:szCs w:val="24"/>
              </w:rPr>
              <w:lastRenderedPageBreak/>
              <w:t>индикаторами достижения компетенций</w:t>
            </w:r>
          </w:p>
        </w:tc>
      </w:tr>
      <w:tr w:rsidR="004F04F9" w:rsidRPr="00D011EA" w:rsidTr="00236708">
        <w:tc>
          <w:tcPr>
            <w:tcW w:w="2572" w:type="dxa"/>
          </w:tcPr>
          <w:p w:rsidR="004F04F9" w:rsidRPr="000212A5" w:rsidRDefault="004F04F9" w:rsidP="004F04F9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ПК – 15 – способность </w:t>
            </w:r>
            <w:r w:rsidRPr="00B12F22">
              <w:rPr>
                <w:sz w:val="24"/>
                <w:szCs w:val="24"/>
              </w:rPr>
              <w:t>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  <w:tc>
          <w:tcPr>
            <w:tcW w:w="5704" w:type="dxa"/>
          </w:tcPr>
          <w:p w:rsidR="004F04F9" w:rsidRDefault="004F04F9" w:rsidP="004F04F9">
            <w:pPr>
              <w:widowControl/>
              <w:tabs>
                <w:tab w:val="left" w:pos="209"/>
                <w:tab w:val="left" w:pos="1418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4F04F9" w:rsidRPr="003760F8" w:rsidRDefault="004F04F9" w:rsidP="004F04F9">
            <w:pPr>
              <w:widowControl/>
              <w:numPr>
                <w:ilvl w:val="0"/>
                <w:numId w:val="10"/>
              </w:numPr>
              <w:tabs>
                <w:tab w:val="left" w:pos="209"/>
              </w:tabs>
              <w:autoSpaceDE/>
              <w:autoSpaceDN/>
              <w:adjustRightInd/>
              <w:ind w:left="209" w:hanging="142"/>
              <w:jc w:val="both"/>
              <w:rPr>
                <w:sz w:val="24"/>
                <w:szCs w:val="24"/>
              </w:rPr>
            </w:pPr>
            <w:r w:rsidRPr="003760F8">
              <w:rPr>
                <w:sz w:val="24"/>
                <w:szCs w:val="24"/>
              </w:rPr>
              <w:t>классификацию систем водоснабжения;</w:t>
            </w:r>
          </w:p>
          <w:p w:rsidR="004F04F9" w:rsidRDefault="004F04F9" w:rsidP="004F04F9">
            <w:pPr>
              <w:widowControl/>
              <w:numPr>
                <w:ilvl w:val="0"/>
                <w:numId w:val="10"/>
              </w:numPr>
              <w:tabs>
                <w:tab w:val="left" w:pos="209"/>
              </w:tabs>
              <w:autoSpaceDE/>
              <w:autoSpaceDN/>
              <w:adjustRightInd/>
              <w:ind w:left="209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противопожарное водоснабжение;</w:t>
            </w:r>
          </w:p>
          <w:p w:rsidR="004F04F9" w:rsidRDefault="004F04F9" w:rsidP="004F04F9">
            <w:pPr>
              <w:widowControl/>
              <w:tabs>
                <w:tab w:val="left" w:pos="209"/>
                <w:tab w:val="left" w:pos="1418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760F8">
              <w:rPr>
                <w:sz w:val="24"/>
                <w:szCs w:val="24"/>
              </w:rPr>
              <w:t>обследование систем противопожарного водоснабжения</w:t>
            </w:r>
          </w:p>
          <w:p w:rsidR="004F04F9" w:rsidRDefault="004F04F9" w:rsidP="004F04F9">
            <w:pPr>
              <w:widowControl/>
              <w:tabs>
                <w:tab w:val="left" w:pos="209"/>
                <w:tab w:val="left" w:pos="1418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4F04F9" w:rsidRPr="007454F7" w:rsidRDefault="004F04F9" w:rsidP="004F04F9">
            <w:pPr>
              <w:widowControl/>
              <w:numPr>
                <w:ilvl w:val="0"/>
                <w:numId w:val="10"/>
              </w:numPr>
              <w:tabs>
                <w:tab w:val="left" w:pos="209"/>
              </w:tabs>
              <w:autoSpaceDE/>
              <w:autoSpaceDN/>
              <w:adjustRightInd/>
              <w:ind w:left="209" w:hanging="142"/>
              <w:jc w:val="both"/>
              <w:rPr>
                <w:sz w:val="24"/>
                <w:szCs w:val="24"/>
              </w:rPr>
            </w:pPr>
            <w:r w:rsidRPr="002E3864">
              <w:rPr>
                <w:sz w:val="24"/>
                <w:szCs w:val="24"/>
              </w:rPr>
              <w:t>применять методики при экспертизе проектов противопожарного водоснабжения.</w:t>
            </w:r>
          </w:p>
          <w:p w:rsidR="004F04F9" w:rsidRDefault="004F04F9" w:rsidP="004F04F9">
            <w:pPr>
              <w:widowControl/>
              <w:tabs>
                <w:tab w:val="left" w:pos="209"/>
                <w:tab w:val="left" w:pos="1418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4F04F9" w:rsidRPr="00E8082A" w:rsidRDefault="004F04F9" w:rsidP="004F04F9">
            <w:pPr>
              <w:widowControl/>
              <w:numPr>
                <w:ilvl w:val="0"/>
                <w:numId w:val="10"/>
              </w:numPr>
              <w:tabs>
                <w:tab w:val="left" w:pos="209"/>
              </w:tabs>
              <w:autoSpaceDE/>
              <w:autoSpaceDN/>
              <w:adjustRightInd/>
              <w:ind w:left="209" w:hanging="142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495D58">
              <w:rPr>
                <w:sz w:val="24"/>
                <w:szCs w:val="24"/>
              </w:rPr>
              <w:t>методикой обследования систем противопожарного водоснабжения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3283E" w:rsidRPr="00C10A60" w:rsidRDefault="0093283E" w:rsidP="0093283E">
      <w:pPr>
        <w:pStyle w:val="1"/>
        <w:numPr>
          <w:ilvl w:val="0"/>
          <w:numId w:val="0"/>
        </w:numPr>
        <w:spacing w:before="0" w:after="120"/>
        <w:jc w:val="left"/>
        <w:rPr>
          <w:sz w:val="28"/>
          <w:szCs w:val="28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7F07B1">
        <w:rPr>
          <w:rFonts w:ascii="TimesNewRomanPSMT" w:hAnsi="TimesNewRomanPSMT" w:cs="TimesNewRomanPSMT"/>
          <w:b w:val="0"/>
        </w:rPr>
        <w:t>2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7F07B1">
        <w:rPr>
          <w:rFonts w:ascii="TimesNewRomanPSMT" w:hAnsi="TimesNewRomanPSMT" w:cs="TimesNewRomanPSMT"/>
          <w:b w:val="0"/>
        </w:rPr>
        <w:t>е</w:t>
      </w:r>
      <w:r w:rsidRPr="005D1E93">
        <w:rPr>
          <w:rFonts w:ascii="TimesNewRomanPSMT" w:hAnsi="TimesNewRomanPSMT" w:cs="TimesNewRomanPSMT"/>
          <w:b w:val="0"/>
        </w:rPr>
        <w:t xml:space="preserve"> единиц</w:t>
      </w:r>
      <w:r w:rsidR="007F07B1">
        <w:rPr>
          <w:rFonts w:ascii="TimesNewRomanPSMT" w:hAnsi="TimesNewRomanPSMT" w:cs="TimesNewRomanPSMT"/>
          <w:b w:val="0"/>
        </w:rPr>
        <w:t>ы</w:t>
      </w:r>
      <w:r w:rsidRPr="005D1E93">
        <w:rPr>
          <w:rFonts w:ascii="TimesNewRomanPSMT" w:hAnsi="TimesNewRomanPSMT" w:cs="TimesNewRomanPSMT"/>
          <w:b w:val="0"/>
        </w:rPr>
        <w:t xml:space="preserve"> (</w:t>
      </w:r>
      <w:r w:rsidR="007F07B1">
        <w:rPr>
          <w:rFonts w:ascii="TimesNewRomanPSMT" w:hAnsi="TimesNewRomanPSMT" w:cs="TimesNewRomanPSMT"/>
          <w:b w:val="0"/>
        </w:rPr>
        <w:t>72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7F07B1">
        <w:rPr>
          <w:rFonts w:ascii="TimesNewRomanPSMT" w:hAnsi="TimesNewRomanPSMT" w:cs="TimesNewRomanPSMT"/>
          <w:b w:val="0"/>
        </w:rPr>
        <w:t>а</w:t>
      </w:r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>
        <w:rPr>
          <w:rFonts w:ascii="TimesNewRomanPSMT" w:hAnsi="TimesNewRomanPSMT" w:cs="TimesNewRomanPSMT"/>
          <w:b w:val="0"/>
        </w:rPr>
        <w:t xml:space="preserve"> </w:t>
      </w:r>
      <w:r w:rsidR="007F07B1">
        <w:rPr>
          <w:rFonts w:ascii="TimesNewRomanPSMT" w:hAnsi="TimesNewRomanPSMT" w:cs="TimesNewRomanPSMT"/>
        </w:rPr>
        <w:t>зачет.</w:t>
      </w:r>
      <w:bookmarkStart w:id="0" w:name="_GoBack"/>
      <w:bookmarkEnd w:id="0"/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51D2"/>
    <w:multiLevelType w:val="hybridMultilevel"/>
    <w:tmpl w:val="64347322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2BE6C33"/>
    <w:multiLevelType w:val="hybridMultilevel"/>
    <w:tmpl w:val="8FAC1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38509E5"/>
    <w:multiLevelType w:val="hybridMultilevel"/>
    <w:tmpl w:val="99B4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5F5660"/>
    <w:multiLevelType w:val="hybridMultilevel"/>
    <w:tmpl w:val="DF8C8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1D2B65"/>
    <w:rsid w:val="00236708"/>
    <w:rsid w:val="00314710"/>
    <w:rsid w:val="004F04F9"/>
    <w:rsid w:val="00595DC9"/>
    <w:rsid w:val="005F6C2B"/>
    <w:rsid w:val="005F6FAF"/>
    <w:rsid w:val="00615729"/>
    <w:rsid w:val="007F07B1"/>
    <w:rsid w:val="008A0701"/>
    <w:rsid w:val="0093283E"/>
    <w:rsid w:val="00BB3697"/>
    <w:rsid w:val="00C566E3"/>
    <w:rsid w:val="00D34DDD"/>
    <w:rsid w:val="00DB3D74"/>
    <w:rsid w:val="00E25619"/>
    <w:rsid w:val="00E97E19"/>
    <w:rsid w:val="00F258C0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FAF9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qFormat/>
    <w:rsid w:val="008A070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8A0701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18</cp:revision>
  <dcterms:created xsi:type="dcterms:W3CDTF">2019-08-29T21:39:00Z</dcterms:created>
  <dcterms:modified xsi:type="dcterms:W3CDTF">2019-08-29T21:53:00Z</dcterms:modified>
</cp:coreProperties>
</file>