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A6" w:rsidRDefault="007737A6" w:rsidP="007737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148"/>
      <w:bookmarkStart w:id="1" w:name="_GoBack"/>
      <w:bookmarkEnd w:id="0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737A6" w:rsidRDefault="007737A6" w:rsidP="007737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Концепции Национального плана</w:t>
      </w:r>
    </w:p>
    <w:p w:rsidR="007737A6" w:rsidRDefault="007737A6" w:rsidP="007737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развития конкуренции в Российской Федерации</w:t>
      </w:r>
    </w:p>
    <w:p w:rsidR="007737A6" w:rsidRDefault="007737A6" w:rsidP="007737A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2021- 2025 годы</w:t>
      </w:r>
    </w:p>
    <w:p w:rsidR="007737A6" w:rsidRDefault="007737A6" w:rsidP="00BF62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27B8" w:rsidRPr="00D7406F" w:rsidRDefault="007227B8" w:rsidP="00BF62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06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227B8" w:rsidRPr="00D7406F" w:rsidRDefault="007227B8" w:rsidP="00BF62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406F">
        <w:rPr>
          <w:rFonts w:ascii="Times New Roman" w:hAnsi="Times New Roman" w:cs="Times New Roman"/>
          <w:b w:val="0"/>
          <w:sz w:val="28"/>
          <w:szCs w:val="28"/>
        </w:rPr>
        <w:t>ОТРАСЛЕЙ (СФЕР) ЭКОНОМИКИ (ВИДОВ ДЕЯТЕЛЬНОСТИ) И ОЖИДАЕМЫХ</w:t>
      </w:r>
      <w:r w:rsidR="00F323A4" w:rsidRPr="00D74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06F">
        <w:rPr>
          <w:rFonts w:ascii="Times New Roman" w:hAnsi="Times New Roman" w:cs="Times New Roman"/>
          <w:b w:val="0"/>
          <w:sz w:val="28"/>
          <w:szCs w:val="28"/>
        </w:rPr>
        <w:t>РЕЗУЛЬТАТОВ РАЗВИТИЯ КОНКУРЕНЦИИ</w:t>
      </w:r>
    </w:p>
    <w:p w:rsidR="007227B8" w:rsidRPr="00D7406F" w:rsidRDefault="007227B8" w:rsidP="007227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118"/>
        <w:gridCol w:w="6096"/>
      </w:tblGrid>
      <w:tr w:rsidR="00182D82" w:rsidRPr="00D7406F" w:rsidTr="00CB3B05">
        <w:tc>
          <w:tcPr>
            <w:tcW w:w="851" w:type="dxa"/>
          </w:tcPr>
          <w:p w:rsidR="007227B8" w:rsidRPr="00D7406F" w:rsidRDefault="007227B8" w:rsidP="006308EC">
            <w:pPr>
              <w:pStyle w:val="ConsPlusNormal"/>
              <w:spacing w:line="360" w:lineRule="auto"/>
              <w:ind w:left="-105" w:firstLine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227B8" w:rsidRPr="00D7406F" w:rsidRDefault="007227B8" w:rsidP="00182D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Отрасль (сфера) экономики (виды деятельности)</w:t>
            </w:r>
          </w:p>
        </w:tc>
        <w:tc>
          <w:tcPr>
            <w:tcW w:w="6096" w:type="dxa"/>
          </w:tcPr>
          <w:p w:rsidR="007227B8" w:rsidRPr="00D7406F" w:rsidRDefault="007227B8" w:rsidP="00182D82">
            <w:pPr>
              <w:pStyle w:val="ConsPlusNormal"/>
              <w:spacing w:line="276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A071C" w:rsidRPr="00D7406F" w:rsidTr="003A071C">
        <w:trPr>
          <w:trHeight w:val="2440"/>
        </w:trPr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00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>Обеспечено ежегодное увеличение на   5 процентов доли зарегистрированных сортов и гибридов основных сельскохозяйственных культур, выведенных российскими частными селекционными компаниями, в Государственном реестре селекционных достижений, допущенных к использованию.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00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 xml:space="preserve">На федеральном и региональном уровнях обеспечена возможность подачи заявления на получение субсидий сельскохозяйственными товаропроизводителями в электронном виде через государственную информационную систему. </w:t>
            </w:r>
          </w:p>
          <w:p w:rsidR="00340EBD" w:rsidRPr="00D7406F" w:rsidRDefault="00340EBD" w:rsidP="003A071C">
            <w:pPr>
              <w:pStyle w:val="a7"/>
              <w:spacing w:before="0" w:beforeAutospacing="0" w:after="0" w:line="276" w:lineRule="auto"/>
              <w:ind w:firstLine="500"/>
              <w:jc w:val="both"/>
              <w:rPr>
                <w:sz w:val="28"/>
                <w:szCs w:val="28"/>
              </w:rPr>
            </w:pPr>
            <w:r w:rsidRPr="00D7406F">
              <w:rPr>
                <w:bCs/>
                <w:sz w:val="28"/>
                <w:szCs w:val="28"/>
              </w:rPr>
              <w:t>Рост не менее чем на 15 процентов по отношению к значению 2020 года отношения объема произведенной сельскохозяйственной продукции к объему предоставленных субсидий</w:t>
            </w:r>
            <w:r w:rsidRPr="00D7406F">
              <w:rPr>
                <w:sz w:val="28"/>
                <w:szCs w:val="28"/>
              </w:rPr>
              <w:t>.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00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>Доля субъектов малого и среднего предпринимательства в общем объеме производства и реализации сельскохозяйственной продукции составляет не менее 25 процентов.</w:t>
            </w:r>
          </w:p>
          <w:p w:rsidR="006D42E9" w:rsidRPr="00D7406F" w:rsidRDefault="003A071C" w:rsidP="006D42E9">
            <w:pPr>
              <w:pStyle w:val="a7"/>
              <w:spacing w:before="0" w:beforeAutospacing="0" w:after="0" w:line="276" w:lineRule="auto"/>
              <w:ind w:firstLine="500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 xml:space="preserve">Доля ликвидной биржевой торговли сельскохозяйственными товарами и продуктами их переработки, в том числе сахаром, составляет не менее 10 процентов от объема производства </w:t>
            </w:r>
            <w:r w:rsidRPr="00D7406F">
              <w:rPr>
                <w:sz w:val="28"/>
                <w:szCs w:val="28"/>
              </w:rPr>
              <w:lastRenderedPageBreak/>
              <w:t>на территории Российской Федерации.</w:t>
            </w:r>
          </w:p>
          <w:p w:rsidR="003A071C" w:rsidRPr="00D7406F" w:rsidRDefault="003A071C" w:rsidP="006D42E9">
            <w:pPr>
              <w:pStyle w:val="a7"/>
              <w:spacing w:before="0" w:beforeAutospacing="0" w:after="0" w:line="276" w:lineRule="auto"/>
              <w:ind w:firstLine="500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>Обеспечен доступ субъектов малого и среднего предпринимательства к биржевым торгам.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Телекоммуникации</w:t>
            </w:r>
          </w:p>
        </w:tc>
        <w:tc>
          <w:tcPr>
            <w:tcW w:w="6096" w:type="dxa"/>
            <w:shd w:val="clear" w:color="auto" w:fill="auto"/>
          </w:tcPr>
          <w:p w:rsidR="003A071C" w:rsidRPr="00D7406F" w:rsidRDefault="003A071C" w:rsidP="003A071C">
            <w:pPr>
              <w:spacing w:after="0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Дерегулированы услуги телефонной связи в сфере общедоступной электросвязи на рынках, находящихся в условиях конкуренции.</w:t>
            </w:r>
          </w:p>
          <w:p w:rsidR="003A071C" w:rsidRPr="00D7406F" w:rsidRDefault="003A071C" w:rsidP="003A071C">
            <w:pPr>
              <w:pStyle w:val="ConsPlusNormal"/>
              <w:spacing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Обеспечен переход услуг телефонной связи в сфере общедоступной электросвязи от состояния естественной монополии в состояние конкуренции с прекращением регулирования услуг телефонной связи в качестве естественной монополии.</w:t>
            </w:r>
          </w:p>
          <w:p w:rsidR="003A071C" w:rsidRPr="00D7406F" w:rsidRDefault="003A071C" w:rsidP="003A071C">
            <w:pPr>
              <w:pStyle w:val="ConsPlusNormal"/>
              <w:spacing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На рынках услуг связи отсутствуют унитарные предприятия, за исключением случаев, предусмотренных федеральными законами.</w:t>
            </w:r>
          </w:p>
          <w:p w:rsidR="000743D9" w:rsidRPr="00D7406F" w:rsidRDefault="003A071C" w:rsidP="00D7406F">
            <w:pPr>
              <w:pStyle w:val="ConsPlusNormal"/>
              <w:spacing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на рынке услуг связи по широкополосному доступу в Интернет составляет не менее 98 процентов.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На рынках услуг </w:t>
            </w:r>
            <w:r w:rsidR="00D9050E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исключением случаев, предусмотренных федеральными законами.</w:t>
            </w:r>
          </w:p>
          <w:p w:rsidR="003A071C" w:rsidRPr="00D7406F" w:rsidRDefault="003A071C" w:rsidP="003A071C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ввод в промышленную эксплуатацию информационно-аналитической </w:t>
            </w:r>
            <w:r w:rsidR="00D9050E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по сопоставлению цен на однородные товары, работы, услуги в сфере государственного оборонного заказа и в гражданской сфере (далее – ИАС ГОЗ):</w:t>
            </w:r>
          </w:p>
          <w:p w:rsidR="003A071C" w:rsidRPr="00D7406F" w:rsidRDefault="003A071C" w:rsidP="003A071C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пользователей ИАС ГОЗ – одна тысяча в 2022 году;</w:t>
            </w:r>
          </w:p>
          <w:p w:rsidR="003A071C" w:rsidRPr="00D7406F" w:rsidRDefault="003A071C" w:rsidP="003A071C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- количество пользователей ИАС ГОЗ составляет – 20 тысяч в 2025 году.</w:t>
            </w:r>
          </w:p>
          <w:p w:rsidR="000743D9" w:rsidRPr="00D7406F" w:rsidRDefault="003A071C" w:rsidP="00636FEE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Обеспечено проведение закрытых торгов, содержащих сведения, составляющие государственную тайну, на специализированной торговой площадке</w:t>
            </w:r>
            <w:r w:rsidR="00B10ADB" w:rsidRPr="00D7406F"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  <w:p w:rsidR="000743D9" w:rsidRPr="00D7406F" w:rsidRDefault="000743D9" w:rsidP="00636FEE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/>
                <w:sz w:val="28"/>
                <w:szCs w:val="24"/>
              </w:rPr>
              <w:t>Доля субъектов малого и среднего предпринимательства в общем объеме услуг связи на рынках предоставления услуг для обеспечения размещения информации в информационной системе, подключенной к сети Интернет (включая хостинг, поддержку доменных имен) составляет не менее 25 процентов</w:t>
            </w:r>
            <w:r w:rsidRPr="00D7406F">
              <w:rPr>
                <w:rFonts w:ascii="Times New Roman" w:hAnsi="Times New Roman"/>
                <w:i/>
                <w:sz w:val="28"/>
                <w:szCs w:val="24"/>
              </w:rPr>
              <w:t>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autoSpaceDE w:val="0"/>
              <w:autoSpaceDN w:val="0"/>
              <w:adjustRightInd w:val="0"/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твердых коммунальных отходов до 30 процентов к 2025 году, транспортируемых организациями частных форм собственности (не государственными и не муниципальными организациями) и не аффилированными с региональным оператором по обращению с твердыми коммунальными отходами. </w:t>
            </w:r>
          </w:p>
          <w:p w:rsidR="003A071C" w:rsidRPr="00D7406F" w:rsidRDefault="003A071C" w:rsidP="003A071C">
            <w:pPr>
              <w:autoSpaceDE w:val="0"/>
              <w:autoSpaceDN w:val="0"/>
              <w:adjustRightInd w:val="0"/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Обеспечено непревышение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Федерации:</w:t>
            </w:r>
          </w:p>
          <w:p w:rsidR="003A071C" w:rsidRPr="00D7406F" w:rsidRDefault="003A071C" w:rsidP="003A071C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- теплоснабжение - 10 процентов в 2021 – 2025 годах;</w:t>
            </w:r>
          </w:p>
          <w:p w:rsidR="003A071C" w:rsidRPr="00D7406F" w:rsidRDefault="003A071C" w:rsidP="003A071C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- водоснабжение - 10 процентов в 2021 – 2025 годах;</w:t>
            </w:r>
          </w:p>
          <w:p w:rsidR="003A071C" w:rsidRPr="00D7406F" w:rsidRDefault="003A071C" w:rsidP="003A071C">
            <w:pPr>
              <w:pStyle w:val="ConsPlusNormal"/>
              <w:spacing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- водоотведение - 10 процентов в 2021 – 2025 годах.</w:t>
            </w:r>
          </w:p>
          <w:p w:rsidR="003A071C" w:rsidRPr="00D7406F" w:rsidRDefault="003A071C" w:rsidP="003A071C">
            <w:pPr>
              <w:autoSpaceDE w:val="0"/>
              <w:autoSpaceDN w:val="0"/>
              <w:adjustRightInd w:val="0"/>
              <w:spacing w:after="0" w:line="276" w:lineRule="auto"/>
              <w:ind w:firstLine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на рынке услуг по содержанию,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текущему ремонту общего имущества многоквартирных домов составляет не менее 70 процентов, в том числе доля субъектов малого и среднего предпринимательства не менее 70 процентов.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Сфера финансовых рынков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2025 году осуществляют деятельность более трех лет не менее чем 5 тысяч финансовых организаций, являющихся субъектами малого и среднего предпринимательства. 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Обеспечено сокращение количества финансовых организаций, в уставных капиталах которых имеется участие государства, не менее чем на 10 организаций ежегодно к федеральному значению 2020 года.</w:t>
            </w:r>
          </w:p>
          <w:p w:rsidR="0044061D" w:rsidRPr="00D7406F" w:rsidRDefault="0044061D" w:rsidP="0044061D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финансирования, в том числе в рамках реализации 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созданной единой государственной системы учета мер государственной и муниципальной поддержки</w:t>
            </w:r>
            <w:r w:rsidRPr="00D74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44061D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Обеспечено проведение открытых процедур отбора кредитных или иных специализированных финансовых организаций – агентов по размещению, выкупу, обмену, обслуживанию и погашению выпусков облигаций федерального займа для 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  <w:r w:rsidR="003A071C" w:rsidRPr="00D74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84678E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Создан не менее чем один</w:t>
            </w:r>
            <w:r w:rsidRPr="00D74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новый рынок производных финансовых инструментов, базисным активом котор</w:t>
            </w:r>
            <w:r w:rsidR="006308EC" w:rsidRPr="00D7406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товар</w:t>
            </w:r>
            <w:r w:rsidR="003A071C" w:rsidRPr="00D74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061D" w:rsidRPr="00D7406F" w:rsidRDefault="003A071C" w:rsidP="00636FEE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Уполномоченным органом введен норматив объема услуг, предоставляемых аффилированными страховыми организациями кредитным организациям и их заемщикам при выдаче кредитов (займов) – не более 25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процентов.</w:t>
            </w:r>
          </w:p>
          <w:p w:rsidR="006308EC" w:rsidRPr="00D7406F" w:rsidRDefault="006308EC" w:rsidP="00636FEE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 порядок распределения квот добычи (вылова) водных биоресурсов, ранее распределявшихся по «историческому принципу», путем перехода к распределению квот добычи (вылова) водных биоресурсов на аукционах в электронной форме на электронных площадках, функционирующих в соответствии с законодательством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недискриминационный допуск российских организаций, в том числе частных, к осуществлению недропользования на континентальном шельфе Российской Федерации.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Электроэнергетика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Снижены сроки технологического присоединения к электрическим сетям до 90 дней к 2025 году.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подключению (технологическому присоединению) объектов капитального строительства к сетям инженерно-технического обеспечения оказываются в электронной форме не менее чем в 40 субъектах Российской Федерации к 2025 году.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ежегодное снижение объемов перекрестного субсидирования в тарифах на передачу электрической энергии.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Не увеличены территории ценовых зон оптового рынка электрической энергии и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мощности, для которых устанавливаются особенности функционирования оптового и розничных рынков.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Объем электрической энергии, приобретенной покупателями электроэнергии, участвующими в управлении спросом на электрическую энергию, составит не менее 4 ГВт в 2025 году. 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составляет не менее:</w:t>
            </w:r>
          </w:p>
          <w:p w:rsidR="003A071C" w:rsidRPr="00D7406F" w:rsidRDefault="003A071C" w:rsidP="003A071C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рынках производства электроэнергии на розничном рынке – 30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A071C" w:rsidRPr="00D7406F" w:rsidRDefault="003A071C" w:rsidP="003A071C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 рынках купли-продажи электроэнергии на розничном рынке – 30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        Доля субъектов малого и среднего предпринимательства на розничных рынках электрической энергии составляет не менее 5 процентов.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Сфера транспорта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недискриминационной основе. 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по перевозке пассажиров на условиях недискриминационного доступа к инфраструктуре осуществляют не менее пяти не входящих в группу РЖД частных конкурирующих </w:t>
            </w:r>
            <w:r w:rsidR="003A7531" w:rsidRPr="00D7406F">
              <w:rPr>
                <w:rFonts w:ascii="Times New Roman" w:hAnsi="Times New Roman" w:cs="Times New Roman"/>
                <w:sz w:val="28"/>
                <w:szCs w:val="28"/>
              </w:rPr>
              <w:t>компаний, осуществляющих перевозку пассажиров железнодорожным транспортом</w:t>
            </w:r>
            <w:r w:rsidRPr="00D7406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общего количества внутренних авиамаршрутов, а также увеличение доли авиамаршрутов, перевозку пассажиров</w:t>
            </w:r>
            <w:r w:rsidR="008628E2"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каждом из которых осуществляет не менее четырех авиакомпаний, не менее чем до 50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от межрегиональной маршрутной сети.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Обеспечены равные условия дистрибуции 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авиабилетов через глобальные и российские системы бронирования.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 деятельность не менее двух независимых операторов (не входящих в группу лиц с главным оператором аэропорта) каждой из коммерческих услуг, предоставляемых в аэропортах, обслуживающих свыше 1 млн пассажиров в год.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не менее трех концессионных соглашений, обеспечивающих развитие малых и средних аэропортов (с пассажиропотоком менее 500 тысяч пассажиров в год) с привлечением внебюджетных средств.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условиях дефицита к услугам универсальных морских портов, инфраструктура которых находится государственной собственности, грузоотправителям/ грузополучателям, обеспечен недискриминационный доступ к таким видам услуг, в объеме не более 35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в отношении одной группы лиц по грузообороту.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Через оператора товарных поставок оформляется в 2021 году не менее 10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поставок товаров железнодорожным транспортом, приобретенных на организованных торгах; в 2022 году – не менее 20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в 2023 году – не менее 30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в 2024 году – не менее 40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в 2025 году – не менее 50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индикаторы рыночной цены на услуги по транспортировке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/перевозке грузов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Применяются репрезентативные индикаторы цен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услуги по транспортировке/перевозке грузов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антимонопольного, тарифного, бюджетного, налогового контроля и регулирования.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не менее:</w:t>
            </w:r>
          </w:p>
          <w:p w:rsidR="003A071C" w:rsidRPr="00D7406F" w:rsidRDefault="003A071C" w:rsidP="003A071C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на рынках перевозки пассажиров по городским маршрутам – 70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субъектов малого и среднего предпринимательства 30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F21381"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A071C" w:rsidRPr="00D7406F" w:rsidRDefault="003A071C" w:rsidP="003A071C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рынках перевозки пассажиров по междугородним маршрутам – 70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субъектов малого и среднего предпринимательства 30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Сфера образования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Не менее чем в 50 регионах реализованы «пилотные» проекты внедрения системы персонифицированного финансирования дополнительного образования детей не позднее 2024 года, не менее чем в 70 регионах – не позднее 2025 года</w:t>
            </w:r>
            <w:r w:rsidR="00340EBD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EBD" w:rsidRPr="00D7406F">
              <w:rPr>
                <w:rFonts w:ascii="Times New Roman" w:hAnsi="Times New Roman"/>
                <w:sz w:val="28"/>
                <w:szCs w:val="28"/>
              </w:rPr>
              <w:t>(за исключением финансирования дополнительного образования в детских школах искусств)</w:t>
            </w:r>
            <w:r w:rsidR="00636FEE" w:rsidRPr="00D740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6FF4" w:rsidRPr="00D7406F" w:rsidRDefault="007B6FF4" w:rsidP="007B6FF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В субъектах Российской Федерации разработаны меры поддержки частных образовательных организаций, реализующих образовательную программу дошкольного образования и (или) осуществляющих присмотр и уход за детьми.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Увеличено количество частных образовательны</w:t>
            </w:r>
            <w:r w:rsidR="00856CB6" w:rsidRPr="00D7406F">
              <w:rPr>
                <w:rFonts w:ascii="Times New Roman" w:hAnsi="Times New Roman" w:cs="Times New Roman"/>
                <w:sz w:val="28"/>
                <w:szCs w:val="28"/>
              </w:rPr>
              <w:t>х организаций, реализующих прог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рамму дошкольного образования и (или) осуществляющих присмотр и уход за детьми – не менее чем на 5 % к по отношению к количеству таких организаций, ос</w:t>
            </w:r>
            <w:r w:rsidR="00856CB6" w:rsidRPr="00D7406F">
              <w:rPr>
                <w:rFonts w:ascii="Times New Roman" w:hAnsi="Times New Roman" w:cs="Times New Roman"/>
                <w:sz w:val="28"/>
                <w:szCs w:val="28"/>
              </w:rPr>
              <w:t>уществляющих деятельность в 2020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общеобразовательные программы общего образования включен обязательный раздел «Основы конкуренции».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от общего числа организаций составляет не менее:</w:t>
            </w:r>
          </w:p>
          <w:p w:rsidR="003A071C" w:rsidRPr="00D7406F" w:rsidRDefault="003A071C" w:rsidP="003A071C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рынках дошкольного образования – </w:t>
            </w:r>
            <w:r w:rsidR="00C14E0A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процентов;</w:t>
            </w:r>
          </w:p>
          <w:p w:rsidR="003A071C" w:rsidRPr="00D7406F" w:rsidRDefault="003A071C" w:rsidP="003A071C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рынках о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бщего образования –</w:t>
            </w:r>
            <w:r w:rsidR="00636FEE"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14E0A"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14E0A" w:rsidRPr="00D740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071C" w:rsidRPr="00D7406F" w:rsidRDefault="003A071C" w:rsidP="00636FEE">
            <w:pPr>
              <w:spacing w:after="0" w:line="276" w:lineRule="auto"/>
              <w:ind w:firstLine="5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- на рынках среднего профессионального образования –</w:t>
            </w:r>
            <w:r w:rsidR="00C14E0A"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="00636FEE"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05"/>
              <w:jc w:val="both"/>
              <w:rPr>
                <w:sz w:val="28"/>
                <w:szCs w:val="28"/>
                <w:lang w:eastAsia="en-US"/>
              </w:rPr>
            </w:pPr>
            <w:r w:rsidRPr="00D7406F">
              <w:rPr>
                <w:sz w:val="28"/>
                <w:szCs w:val="28"/>
                <w:lang w:eastAsia="en-US"/>
              </w:rPr>
              <w:t>На рынках лекарственных средств: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05"/>
              <w:jc w:val="both"/>
              <w:rPr>
                <w:sz w:val="28"/>
                <w:szCs w:val="28"/>
                <w:lang w:eastAsia="en-US"/>
              </w:rPr>
            </w:pPr>
            <w:r w:rsidRPr="00D7406F">
              <w:rPr>
                <w:sz w:val="28"/>
                <w:szCs w:val="28"/>
                <w:lang w:eastAsia="en-US"/>
              </w:rPr>
              <w:t xml:space="preserve">До 2021 года </w:t>
            </w:r>
            <w:r w:rsidR="00856CB6" w:rsidRPr="00D7406F">
              <w:rPr>
                <w:sz w:val="28"/>
                <w:szCs w:val="28"/>
                <w:lang w:eastAsia="en-US"/>
              </w:rPr>
              <w:t xml:space="preserve">проведена работа по </w:t>
            </w:r>
            <w:r w:rsidR="00F21381" w:rsidRPr="00D7406F">
              <w:rPr>
                <w:sz w:val="28"/>
                <w:szCs w:val="28"/>
                <w:lang w:eastAsia="en-US"/>
              </w:rPr>
              <w:t>определению</w:t>
            </w:r>
            <w:r w:rsidR="00856CB6" w:rsidRPr="00D7406F">
              <w:rPr>
                <w:sz w:val="28"/>
                <w:szCs w:val="28"/>
                <w:lang w:eastAsia="en-US"/>
              </w:rPr>
              <w:t xml:space="preserve"> взаимозаменяемости</w:t>
            </w:r>
            <w:r w:rsidRPr="00D7406F">
              <w:rPr>
                <w:sz w:val="28"/>
                <w:szCs w:val="28"/>
                <w:lang w:eastAsia="en-US"/>
              </w:rPr>
              <w:t xml:space="preserve"> лекарственных препаратов для не менее чем 50 </w:t>
            </w:r>
            <w:r w:rsidRPr="00D7406F">
              <w:rPr>
                <w:sz w:val="28"/>
                <w:szCs w:val="28"/>
              </w:rPr>
              <w:t>процентов лекарственных препаратов</w:t>
            </w:r>
            <w:r w:rsidRPr="00D7406F">
              <w:rPr>
                <w:sz w:val="28"/>
                <w:szCs w:val="28"/>
                <w:lang w:eastAsia="en-US"/>
              </w:rPr>
              <w:t xml:space="preserve">, до 2022 года – для не менее чем </w:t>
            </w:r>
            <w:r w:rsidR="00856CB6" w:rsidRPr="00D7406F">
              <w:rPr>
                <w:sz w:val="28"/>
                <w:szCs w:val="28"/>
                <w:lang w:eastAsia="en-US"/>
              </w:rPr>
              <w:t>55</w:t>
            </w:r>
            <w:r w:rsidRPr="00D7406F">
              <w:rPr>
                <w:sz w:val="28"/>
                <w:szCs w:val="28"/>
                <w:lang w:eastAsia="en-US"/>
              </w:rPr>
              <w:t> </w:t>
            </w:r>
            <w:r w:rsidRPr="00D7406F">
              <w:rPr>
                <w:sz w:val="28"/>
                <w:szCs w:val="28"/>
              </w:rPr>
              <w:t>процентов лекарственных препаратов</w:t>
            </w:r>
            <w:r w:rsidRPr="00D7406F">
              <w:rPr>
                <w:sz w:val="28"/>
                <w:szCs w:val="28"/>
                <w:lang w:eastAsia="en-US"/>
              </w:rPr>
              <w:t xml:space="preserve">, до 2023 года – не менее </w:t>
            </w:r>
            <w:r w:rsidR="00856CB6" w:rsidRPr="00D7406F">
              <w:rPr>
                <w:sz w:val="28"/>
                <w:szCs w:val="28"/>
                <w:lang w:eastAsia="en-US"/>
              </w:rPr>
              <w:t>6</w:t>
            </w:r>
            <w:r w:rsidRPr="00D7406F">
              <w:rPr>
                <w:sz w:val="28"/>
                <w:szCs w:val="28"/>
                <w:lang w:eastAsia="en-US"/>
              </w:rPr>
              <w:t xml:space="preserve">0 </w:t>
            </w:r>
            <w:r w:rsidRPr="00D7406F">
              <w:rPr>
                <w:sz w:val="28"/>
                <w:szCs w:val="28"/>
              </w:rPr>
              <w:t>процентов лекарственных препаратов</w:t>
            </w:r>
            <w:r w:rsidRPr="00D7406F">
              <w:rPr>
                <w:sz w:val="28"/>
                <w:szCs w:val="28"/>
                <w:lang w:eastAsia="en-US"/>
              </w:rPr>
              <w:t xml:space="preserve">, до 2024 года – не менее </w:t>
            </w:r>
            <w:r w:rsidR="00856CB6" w:rsidRPr="00D7406F">
              <w:rPr>
                <w:sz w:val="28"/>
                <w:szCs w:val="28"/>
                <w:lang w:eastAsia="en-US"/>
              </w:rPr>
              <w:t xml:space="preserve">65 </w:t>
            </w:r>
            <w:r w:rsidRPr="00D7406F">
              <w:rPr>
                <w:sz w:val="28"/>
                <w:szCs w:val="28"/>
              </w:rPr>
              <w:t>процентов лекарственных препаратов</w:t>
            </w:r>
            <w:r w:rsidRPr="00D7406F">
              <w:rPr>
                <w:sz w:val="28"/>
                <w:szCs w:val="28"/>
                <w:lang w:eastAsia="en-US"/>
              </w:rPr>
              <w:t xml:space="preserve">, до 2025 года - не менее чем </w:t>
            </w:r>
            <w:r w:rsidR="00856CB6" w:rsidRPr="00D7406F">
              <w:rPr>
                <w:sz w:val="28"/>
                <w:szCs w:val="28"/>
                <w:lang w:eastAsia="en-US"/>
              </w:rPr>
              <w:t>7</w:t>
            </w:r>
            <w:r w:rsidRPr="00D7406F">
              <w:rPr>
                <w:sz w:val="28"/>
                <w:szCs w:val="28"/>
                <w:lang w:eastAsia="en-US"/>
              </w:rPr>
              <w:t>0 </w:t>
            </w:r>
            <w:r w:rsidRPr="00D7406F">
              <w:rPr>
                <w:sz w:val="28"/>
                <w:szCs w:val="28"/>
              </w:rPr>
              <w:t>процентов лекарственных препаратов</w:t>
            </w:r>
            <w:r w:rsidRPr="00D7406F">
              <w:rPr>
                <w:sz w:val="28"/>
                <w:szCs w:val="28"/>
                <w:lang w:eastAsia="en-US"/>
              </w:rPr>
              <w:t>.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05"/>
              <w:jc w:val="both"/>
              <w:rPr>
                <w:sz w:val="28"/>
                <w:szCs w:val="28"/>
                <w:lang w:eastAsia="en-US"/>
              </w:rPr>
            </w:pPr>
            <w:r w:rsidRPr="00D7406F">
              <w:rPr>
                <w:sz w:val="28"/>
                <w:szCs w:val="28"/>
                <w:lang w:eastAsia="en-US"/>
              </w:rPr>
              <w:t xml:space="preserve">Система возмещения стоимости лекарственного обеспечения внедрена в не менее чем 10 «пилотных» регионах – к 2023 году, во всех регионах – к 2025 году. </w:t>
            </w:r>
          </w:p>
          <w:p w:rsidR="003A071C" w:rsidRPr="00D7406F" w:rsidRDefault="003A071C" w:rsidP="003A071C">
            <w:pPr>
              <w:pStyle w:val="a7"/>
              <w:shd w:val="clear" w:color="auto" w:fill="FFFFFF" w:themeFill="background1"/>
              <w:spacing w:before="0" w:beforeAutospacing="0" w:after="0" w:line="276" w:lineRule="auto"/>
              <w:ind w:firstLine="505"/>
              <w:jc w:val="both"/>
              <w:rPr>
                <w:sz w:val="28"/>
                <w:szCs w:val="28"/>
                <w:lang w:eastAsia="en-US"/>
              </w:rPr>
            </w:pPr>
            <w:r w:rsidRPr="00D7406F">
              <w:rPr>
                <w:sz w:val="28"/>
                <w:szCs w:val="28"/>
                <w:lang w:eastAsia="en-US"/>
              </w:rPr>
              <w:t>На рынках медицинских услуг: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затрат на медицинскую помощь по обязательному медицинскому страхованию, оказанную негосударственными (немуниципальными) медицинскими организациями по каждому профилю медицинской помощи, в общих расходах на выполнение территориальных программ обязательного медицинского страхования составляет в 2022 году – не менее 10 процентов, в 2023 году – не менее 15 процентов, в 2024 году – не менее 20 процентов, в 2025 году – не менее 25 процентов.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На рынках медицинских изделий:</w:t>
            </w:r>
          </w:p>
          <w:p w:rsidR="003A071C" w:rsidRPr="00D7406F" w:rsidRDefault="00856CB6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Внедрена система взаимозаменяемости медицинских изделий на основании единого каталога медицинских изделий, размещенного в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открытом доступе единой государственной информационной системы.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составляет не менее: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29"/>
              <w:jc w:val="both"/>
              <w:rPr>
                <w:sz w:val="28"/>
                <w:szCs w:val="28"/>
                <w:lang w:eastAsia="en-US"/>
              </w:rPr>
            </w:pPr>
            <w:r w:rsidRPr="00D7406F">
              <w:rPr>
                <w:sz w:val="28"/>
                <w:szCs w:val="28"/>
              </w:rPr>
              <w:t xml:space="preserve">- на рынках </w:t>
            </w:r>
            <w:r w:rsidRPr="00D7406F">
              <w:rPr>
                <w:sz w:val="28"/>
                <w:szCs w:val="28"/>
                <w:lang w:eastAsia="en-US"/>
              </w:rPr>
              <w:t xml:space="preserve">медицинских услуг – 10 </w:t>
            </w:r>
            <w:r w:rsidRPr="00D7406F">
              <w:rPr>
                <w:sz w:val="28"/>
                <w:szCs w:val="28"/>
              </w:rPr>
              <w:t>процентов</w:t>
            </w:r>
            <w:r w:rsidRPr="00D7406F">
              <w:rPr>
                <w:sz w:val="28"/>
                <w:szCs w:val="28"/>
                <w:lang w:eastAsia="en-US"/>
              </w:rPr>
              <w:t xml:space="preserve">, в том числе доля субъектов малого и среднего предпринимательства – не менее 80 </w:t>
            </w:r>
            <w:r w:rsidRPr="00D7406F">
              <w:rPr>
                <w:sz w:val="28"/>
                <w:szCs w:val="28"/>
              </w:rPr>
              <w:t>процентов</w:t>
            </w:r>
            <w:r w:rsidRPr="00D7406F">
              <w:rPr>
                <w:sz w:val="28"/>
                <w:szCs w:val="28"/>
                <w:lang w:eastAsia="en-US"/>
              </w:rPr>
              <w:t>;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firstLine="529"/>
              <w:jc w:val="both"/>
              <w:rPr>
                <w:sz w:val="28"/>
                <w:szCs w:val="28"/>
                <w:lang w:eastAsia="en-US"/>
              </w:rPr>
            </w:pPr>
            <w:r w:rsidRPr="00D7406F">
              <w:rPr>
                <w:sz w:val="28"/>
                <w:szCs w:val="28"/>
                <w:lang w:eastAsia="en-US"/>
              </w:rPr>
              <w:t xml:space="preserve">- на рынках розничной торговли лекарственными препаратами, медицинскими изделиями – 85 </w:t>
            </w:r>
            <w:r w:rsidRPr="00D7406F">
              <w:rPr>
                <w:sz w:val="28"/>
                <w:szCs w:val="28"/>
              </w:rPr>
              <w:t>процентов</w:t>
            </w:r>
            <w:r w:rsidRPr="00D7406F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Ритуальные услуги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субъектах Российской Федерации созданы публичные реестры хозяйствующих субъектов, оказывающих ритуальные услуги – не позднее 2022 года.</w:t>
            </w:r>
          </w:p>
          <w:p w:rsidR="003A071C" w:rsidRPr="00D7406F" w:rsidRDefault="003A071C" w:rsidP="003A071C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Введен в эксплуатацию единый информационный ресурс в похоронном деле:</w:t>
            </w:r>
          </w:p>
          <w:p w:rsidR="003A071C" w:rsidRPr="00D7406F" w:rsidRDefault="003A071C" w:rsidP="00856CB6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- количество кладбищ, включенных в единый информационный ресурс, – 30 процентов в 2022 году; 100 процентов в 2025 году</w:t>
            </w:r>
            <w:r w:rsidR="00F21381" w:rsidRPr="00D7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63E4" w:rsidRPr="00D7406F" w:rsidRDefault="007B63E4" w:rsidP="007B63E4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Обеспечено оказание ритуальных услуг в многофункциональных центрах по принципу «одного окна».</w:t>
            </w:r>
          </w:p>
          <w:p w:rsidR="00955764" w:rsidRPr="00D7406F" w:rsidRDefault="007B63E4" w:rsidP="00C844E6">
            <w:pPr>
              <w:pStyle w:val="a8"/>
              <w:autoSpaceDE w:val="0"/>
              <w:autoSpaceDN w:val="0"/>
              <w:adjustRightInd w:val="0"/>
              <w:spacing w:after="0" w:line="276" w:lineRule="auto"/>
              <w:ind w:left="0" w:firstLine="50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внедрена единая автоматизированная систем учета мест захоронений на кладбищах.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Энергетика (газ, энергетический уголь, нефть, нефтепродукты) </w:t>
            </w:r>
          </w:p>
        </w:tc>
        <w:tc>
          <w:tcPr>
            <w:tcW w:w="6096" w:type="dxa"/>
          </w:tcPr>
          <w:p w:rsidR="006B2E00" w:rsidRPr="00D7406F" w:rsidRDefault="006B2E00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Газ: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торговле природным газом не менее 10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 и не менее 100 покупателей.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Созданы ликвидные биржевые и внебиржевые индикаторы цен на природный газ, сжиженный углеводородный газ.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Использование биржевых и внебиржевых индексов цен в сферах налогового, бюджетного и </w:t>
            </w:r>
            <w:r w:rsidR="009B30F6"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таможенного регулирования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доступ субъектов малого и среднего предпринимательства к биржевым торгам.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6F">
              <w:rPr>
                <w:rFonts w:ascii="Times New Roman" w:hAnsi="Times New Roman"/>
                <w:sz w:val="28"/>
                <w:szCs w:val="28"/>
              </w:rPr>
              <w:t xml:space="preserve">Сроки подключения (технологического присоединения) к сетям газораспределения составляют не более </w:t>
            </w:r>
            <w:r w:rsidR="0010118A" w:rsidRPr="00D7406F">
              <w:rPr>
                <w:rFonts w:ascii="Times New Roman" w:hAnsi="Times New Roman"/>
                <w:sz w:val="28"/>
                <w:szCs w:val="28"/>
              </w:rPr>
              <w:t>135</w:t>
            </w:r>
            <w:r w:rsidR="00636FEE" w:rsidRPr="00D7406F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  <w:r w:rsidRPr="00D740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6F">
              <w:rPr>
                <w:rFonts w:ascii="Times New Roman" w:hAnsi="Times New Roman"/>
                <w:sz w:val="28"/>
                <w:szCs w:val="28"/>
              </w:rPr>
              <w:t xml:space="preserve">Услуги по подключению (технологическому присоединению) объектов капитального строительства к сетям газораспределения оказываются через многофункциональные центры не менее чем в 45 субъектах Российской Федерации. 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Сокращены объемы перекрестного субсидирования в рамках долгосрочного тарифного регулирования. 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Заключены регуляторные контракты </w:t>
            </w:r>
            <w:r w:rsidR="004D1A4E" w:rsidRPr="00D7406F">
              <w:rPr>
                <w:rFonts w:ascii="Times New Roman" w:hAnsi="Times New Roman" w:cs="Times New Roman"/>
                <w:sz w:val="28"/>
                <w:szCs w:val="28"/>
              </w:rPr>
              <w:t>в сфере газоснабжения</w:t>
            </w:r>
            <w:r w:rsidR="004D1A4E" w:rsidRPr="00D7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менее чем в 50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субъектов Российской Федерации от общего количества газифицированных субъектов.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Нефть и нефтепродукты: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hAnsi="Times New Roman"/>
                <w:sz w:val="28"/>
                <w:szCs w:val="28"/>
              </w:rPr>
              <w:t>Доля реализованных на биржевых торгах нефтепродуктов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общего объема производства соответствующего вида товаров составляет: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автомобильные бензины, авиационный керосин – не менее 12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битум – не менее 10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сжиженный углеводородный газ, дизельное топливо – не менее 7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мазут – не менее 4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Обеспечено развитие экспорта нефти и нефтепродуктов с применением прозрачных форм торговли: организованные торги, аукционы.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Обеспечено развитие маркерного сорта российской нефти «Юралс» и повышена его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ликвидность как независимого эталонного сорта.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внебиржевых индексов цен на авиационный керосин в центрах потребления.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биржевых и внебиржевых индексов цен на битум, судовое топливо в центрах потребления и на нефтепродукты (реализованные мелким оптом).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биржевых и внебиржевых индексов цен в сферах налогового, бюджетного и </w:t>
            </w:r>
            <w:r w:rsidR="009B30F6"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таможенного регулирования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доступ субъектов малого и среднего предпринимательства к биржевым торгам.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Угольная промышленность: 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энергетического угля, реализованного на бирже, составляет не менее 10 процентов от поставок на территорию Российской Федерации.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Обеспечено использование биржевых и внебиржевых индексов цен в целях повышения эффективности применения налогового, бюджетного и </w:t>
            </w:r>
            <w:r w:rsidR="009B30F6"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таможенного регулирования.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Созданы ликвидные биржевые и внебиржевые индикаторы цен на</w:t>
            </w:r>
            <w:r w:rsidRPr="00D7406F">
              <w:t xml:space="preserve">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энергетический уголь.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доступ субъектов малого и среднего предпринимательства к биржевым торгам.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Химическая и нефтегазохимическая промышленность</w:t>
            </w:r>
          </w:p>
        </w:tc>
        <w:tc>
          <w:tcPr>
            <w:tcW w:w="6096" w:type="dxa"/>
          </w:tcPr>
          <w:p w:rsidR="003A071C" w:rsidRPr="00D7406F" w:rsidRDefault="003A071C" w:rsidP="00B01AFD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406F">
              <w:rPr>
                <w:rFonts w:ascii="Times New Roman" w:hAnsi="Times New Roman"/>
                <w:sz w:val="28"/>
                <w:szCs w:val="28"/>
              </w:rPr>
              <w:t>Доля реализации химической и нефтегазохимической продукции на организованных торгах от поставок на внутренний рынок, в том числе в мелкооптовом сегменте</w:t>
            </w:r>
            <w:r w:rsidR="0010798A" w:rsidRPr="00D7406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7406F">
              <w:rPr>
                <w:rFonts w:ascii="Times New Roman" w:hAnsi="Times New Roman"/>
                <w:sz w:val="28"/>
                <w:szCs w:val="28"/>
              </w:rPr>
              <w:t xml:space="preserve">составляет: </w:t>
            </w:r>
          </w:p>
          <w:p w:rsidR="00B01AFD" w:rsidRPr="00D7406F" w:rsidRDefault="00B01AFD" w:rsidP="00B01AFD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D7406F">
              <w:rPr>
                <w:rFonts w:ascii="Times New Roman" w:hAnsi="Times New Roman"/>
                <w:sz w:val="28"/>
                <w:szCs w:val="28"/>
              </w:rPr>
              <w:t xml:space="preserve">для минеральных удобрений, парафинов, ортоксилола, толуола - не менее 10 процентов от объемов продаж на территории Российской Федерации каждого производителя, </w:t>
            </w:r>
            <w:r w:rsidRPr="00D7406F">
              <w:rPr>
                <w:rFonts w:ascii="Times New Roman" w:hAnsi="Times New Roman"/>
                <w:sz w:val="28"/>
                <w:szCs w:val="28"/>
              </w:rPr>
              <w:lastRenderedPageBreak/>
              <w:t>занимающего доминирующего на соответствующих товарных рынках</w:t>
            </w:r>
            <w:r w:rsidR="00636FEE" w:rsidRPr="00D740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Расширена номенклатура химической и нефтегазохимической продукции, реализуемой на организованных торгах с учетом спроса.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Сформированы ликвидные биржевые и внебиржевые индикаторы цен на минеральные удобрения, парафины, ортоксилол, толуол.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406F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</w:p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left="9" w:firstLine="497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>Обеспечено использование ресурсного метода определения сметной стоимости строительства на основании данных о стоимости строительных ресурсов по фактическим сделкам купли-продажи, совершаемым в электронной форме на цифровой платформе, интегрированной с федеральной государственной информационной системой ценообразования в строительстве.</w:t>
            </w:r>
          </w:p>
          <w:p w:rsidR="003A071C" w:rsidRPr="00D7406F" w:rsidRDefault="003A071C" w:rsidP="003A071C">
            <w:pPr>
              <w:pStyle w:val="a7"/>
              <w:spacing w:before="0" w:beforeAutospacing="0" w:after="0" w:line="276" w:lineRule="auto"/>
              <w:ind w:left="9" w:firstLine="497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 xml:space="preserve">Осуществлен переход к взаимодействию субъектов градостроительных отношений </w:t>
            </w:r>
            <w:r w:rsidR="0010118A" w:rsidRPr="00D7406F">
              <w:rPr>
                <w:sz w:val="28"/>
                <w:szCs w:val="28"/>
              </w:rPr>
              <w:t>в единой информационной среде на основе единой государственной цифровой платформы в строительстве, обеспечивающей в том числе управление жизненным циклом объекта капитального строительства на основе технологий информационного моделирования</w:t>
            </w:r>
            <w:r w:rsidRPr="00D7406F">
              <w:rPr>
                <w:sz w:val="28"/>
                <w:szCs w:val="28"/>
              </w:rPr>
              <w:t>.</w:t>
            </w:r>
          </w:p>
          <w:p w:rsidR="001753F5" w:rsidRPr="00D7406F" w:rsidRDefault="003A071C" w:rsidP="00D7406F">
            <w:pPr>
              <w:spacing w:after="0" w:line="276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объеме выполненных работ по виду экономической деятельности «Строительство» составляет не менее 95 процентов.</w:t>
            </w:r>
            <w:r w:rsidR="00856CB6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1C92" w:rsidRPr="00D7406F" w:rsidTr="006308EC">
        <w:tc>
          <w:tcPr>
            <w:tcW w:w="851" w:type="dxa"/>
          </w:tcPr>
          <w:p w:rsidR="00F61C92" w:rsidRPr="00D7406F" w:rsidRDefault="00F61C92" w:rsidP="006308E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1C92" w:rsidRPr="00D7406F" w:rsidRDefault="00F61C92" w:rsidP="006308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</w:p>
        </w:tc>
        <w:tc>
          <w:tcPr>
            <w:tcW w:w="6096" w:type="dxa"/>
          </w:tcPr>
          <w:p w:rsidR="00F61C92" w:rsidRPr="00D7406F" w:rsidRDefault="00F61C92" w:rsidP="0074031C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Увеличено количество нестационарных торговых объектов, ярмарок и торговых мест на них не менее чем на 10 </w:t>
            </w:r>
            <w:r w:rsidRPr="00D7406F">
              <w:rPr>
                <w:rFonts w:ascii="Times New Roman" w:hAnsi="Times New Roman"/>
                <w:sz w:val="28"/>
                <w:szCs w:val="28"/>
              </w:rPr>
              <w:t xml:space="preserve">процентов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к 2025 году по отношению к 2020 году.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(обеспечение) населения</w:t>
            </w:r>
          </w:p>
        </w:tc>
        <w:tc>
          <w:tcPr>
            <w:tcW w:w="6096" w:type="dxa"/>
          </w:tcPr>
          <w:p w:rsidR="00C01EA4" w:rsidRPr="00D7406F" w:rsidRDefault="008117F6" w:rsidP="00C01EA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Удельный вес негосударс</w:t>
            </w:r>
            <w:r w:rsidR="00C01EA4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твенных организаций социального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в общем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организаций социального обслуживания всех</w:t>
            </w:r>
            <w:r w:rsidR="00C01EA4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форм собственности увеличен: </w:t>
            </w:r>
          </w:p>
          <w:p w:rsidR="00C01EA4" w:rsidRPr="00D7406F" w:rsidRDefault="008117F6" w:rsidP="00C01EA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с 12,4 до 13,6 %; </w:t>
            </w:r>
          </w:p>
          <w:p w:rsidR="00C01EA4" w:rsidRPr="00D7406F" w:rsidRDefault="008117F6" w:rsidP="00C01EA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в 2022 году - с 13,6 до</w:t>
            </w:r>
            <w:r w:rsidR="00C01EA4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15,4 %; </w:t>
            </w:r>
          </w:p>
          <w:p w:rsidR="00C01EA4" w:rsidRPr="00D7406F" w:rsidRDefault="008117F6" w:rsidP="00C01EA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- с 15,4 до 17,2 %; </w:t>
            </w:r>
          </w:p>
          <w:p w:rsidR="00C01EA4" w:rsidRPr="00D7406F" w:rsidRDefault="008117F6" w:rsidP="00C01EA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- с 17,2 до 19,1 %; </w:t>
            </w:r>
          </w:p>
          <w:p w:rsidR="008117F6" w:rsidRPr="00D7406F" w:rsidRDefault="008117F6" w:rsidP="00636FEE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C01EA4" w:rsidRPr="00D7406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01EA4" w:rsidRPr="00D74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19,1 до 21,1 %</w:t>
            </w:r>
            <w:r w:rsidR="00C01EA4" w:rsidRPr="00D7406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3A071C" w:rsidRPr="00D7406F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0A1FAA" w:rsidP="003A07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Лесной комплекс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/>
                <w:sz w:val="28"/>
              </w:rPr>
            </w:pPr>
            <w:r w:rsidRPr="00D7406F">
              <w:rPr>
                <w:rFonts w:ascii="Times New Roman" w:hAnsi="Times New Roman"/>
                <w:sz w:val="28"/>
              </w:rPr>
              <w:t>Обеспечено развитие ликвидных биржевых торгов лесоматериалами.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 w:cs="Times New Roman"/>
                <w:sz w:val="28"/>
              </w:rPr>
            </w:pPr>
            <w:r w:rsidRPr="00D7406F">
              <w:rPr>
                <w:rFonts w:ascii="Times New Roman" w:hAnsi="Times New Roman" w:cs="Times New Roman"/>
                <w:sz w:val="28"/>
              </w:rPr>
              <w:t xml:space="preserve">Создание ликвидных биржевых индикаторов на лесоматериалы, основанных на результатах биржевых торгов лесоматериалами в объеме не менее 50 млн </w:t>
            </w:r>
            <w:r w:rsidRPr="00D7406F">
              <w:rPr>
                <w:rFonts w:ascii="Times New Roman" w:eastAsia="Calibri" w:hAnsi="Times New Roman" w:cs="Times New Roman"/>
                <w:sz w:val="28"/>
              </w:rPr>
              <w:t>метров кубических</w:t>
            </w:r>
            <w:r w:rsidRPr="00D7406F">
              <w:rPr>
                <w:rFonts w:ascii="Times New Roman" w:hAnsi="Times New Roman" w:cs="Times New Roman"/>
                <w:sz w:val="28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/>
                <w:sz w:val="28"/>
              </w:rPr>
            </w:pPr>
            <w:r w:rsidRPr="00D7406F">
              <w:rPr>
                <w:rFonts w:ascii="Times New Roman" w:hAnsi="Times New Roman"/>
                <w:sz w:val="28"/>
              </w:rPr>
              <w:t xml:space="preserve">Реализация лесоматериалов на биржевых торгах, хозяйствующих субъектов с государственным участием, в объеме не менее 80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процентов </w:t>
            </w:r>
            <w:r w:rsidRPr="00D7406F">
              <w:rPr>
                <w:rFonts w:ascii="Times New Roman" w:hAnsi="Times New Roman"/>
                <w:sz w:val="28"/>
              </w:rPr>
              <w:t>от поставок на внутренний рынок.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/>
                <w:sz w:val="28"/>
              </w:rPr>
            </w:pPr>
            <w:r w:rsidRPr="00D7406F">
              <w:rPr>
                <w:rFonts w:ascii="Times New Roman" w:hAnsi="Times New Roman"/>
                <w:sz w:val="28"/>
              </w:rPr>
              <w:t xml:space="preserve">Реализация лесоматериалов на экспорт на биржевых торгах в объеме не менее 10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процентов </w:t>
            </w:r>
            <w:r w:rsidRPr="00D7406F">
              <w:rPr>
                <w:rFonts w:ascii="Times New Roman" w:hAnsi="Times New Roman"/>
                <w:sz w:val="28"/>
              </w:rPr>
              <w:t>от поставок.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биржевых и внебиржевых индексов цен в сферах налогового, бюджетного и </w:t>
            </w:r>
            <w:r w:rsidR="009B30F6"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таможенного регулирования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A071C" w:rsidRPr="00D7406F" w:rsidRDefault="003A071C" w:rsidP="003A071C">
            <w:pPr>
              <w:spacing w:after="0" w:line="276" w:lineRule="auto"/>
              <w:ind w:firstLine="500"/>
              <w:jc w:val="both"/>
              <w:rPr>
                <w:rFonts w:ascii="Times New Roman" w:hAnsi="Times New Roman"/>
                <w:sz w:val="28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 доступ субъектов малого и среднего предпринимательства к биржевым торгам.</w:t>
            </w:r>
          </w:p>
        </w:tc>
      </w:tr>
      <w:tr w:rsidR="003A071C" w:rsidRPr="00EA35EE" w:rsidTr="00CB3B05">
        <w:tc>
          <w:tcPr>
            <w:tcW w:w="851" w:type="dxa"/>
          </w:tcPr>
          <w:p w:rsidR="003A071C" w:rsidRPr="00D7406F" w:rsidRDefault="003A071C" w:rsidP="003A071C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-105" w:firstLine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A071C" w:rsidRPr="00D7406F" w:rsidRDefault="003A071C" w:rsidP="003A07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06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6096" w:type="dxa"/>
          </w:tcPr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продаж на организованных торгах цемента, в том числе и в мелкооптовом сегменте, составляет не менее 10 процентов от поставок на внутренний рынок.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Расширена номенклатура строительных материалов, допущенных к организованным торгам.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Сформированы биржевые и внебиржевые индикаторы рыночной цены.</w:t>
            </w:r>
          </w:p>
          <w:p w:rsidR="003A071C" w:rsidRPr="00D7406F" w:rsidRDefault="003A071C" w:rsidP="003A071C">
            <w:pPr>
              <w:spacing w:after="0" w:line="276" w:lineRule="auto"/>
              <w:ind w:firstLine="50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Применяются репрезентативные индикаторы цен в рамках антимонопольного, тарифного, </w:t>
            </w:r>
            <w:r w:rsidRPr="00D740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бюджетного, налогового контроля и регулирования.</w:t>
            </w:r>
          </w:p>
          <w:p w:rsidR="00B01AFD" w:rsidRPr="00636FEE" w:rsidRDefault="003A071C" w:rsidP="00636FEE">
            <w:pPr>
              <w:pStyle w:val="a7"/>
              <w:spacing w:before="0" w:beforeAutospacing="0" w:after="0" w:line="276" w:lineRule="auto"/>
              <w:ind w:firstLine="529"/>
              <w:jc w:val="both"/>
              <w:rPr>
                <w:sz w:val="28"/>
                <w:szCs w:val="28"/>
              </w:rPr>
            </w:pPr>
            <w:r w:rsidRPr="00D7406F">
              <w:rPr>
                <w:sz w:val="28"/>
                <w:szCs w:val="28"/>
              </w:rPr>
              <w:t>Обеспечен равный (недискриминационный) доступ хозяйствующих субъектов к мерам государственной поддержки путем размещения информации обо всех мерах поддержки в государственной информационной системе.</w:t>
            </w:r>
          </w:p>
        </w:tc>
      </w:tr>
    </w:tbl>
    <w:p w:rsidR="0044468C" w:rsidRPr="00182D82" w:rsidRDefault="0044468C">
      <w:pPr>
        <w:rPr>
          <w:rFonts w:ascii="Times New Roman" w:hAnsi="Times New Roman" w:cs="Times New Roman"/>
        </w:rPr>
      </w:pPr>
    </w:p>
    <w:sectPr w:rsidR="0044468C" w:rsidRPr="00182D82" w:rsidSect="006308EC">
      <w:headerReference w:type="default" r:id="rId8"/>
      <w:footerReference w:type="default" r:id="rId9"/>
      <w:pgSz w:w="11905" w:h="16838"/>
      <w:pgMar w:top="1134" w:right="851" w:bottom="1134" w:left="1276" w:header="567" w:footer="71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82" w:rsidRDefault="00041382">
      <w:pPr>
        <w:spacing w:after="0" w:line="240" w:lineRule="auto"/>
      </w:pPr>
      <w:r>
        <w:separator/>
      </w:r>
    </w:p>
  </w:endnote>
  <w:endnote w:type="continuationSeparator" w:id="0">
    <w:p w:rsidR="00041382" w:rsidRDefault="0004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E6" w:rsidRDefault="00C844E6" w:rsidP="006308EC">
    <w:pPr>
      <w:pStyle w:val="a5"/>
      <w:tabs>
        <w:tab w:val="center" w:pos="4889"/>
        <w:tab w:val="left" w:pos="5370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82" w:rsidRDefault="00041382">
      <w:pPr>
        <w:spacing w:after="0" w:line="240" w:lineRule="auto"/>
      </w:pPr>
      <w:r>
        <w:separator/>
      </w:r>
    </w:p>
  </w:footnote>
  <w:footnote w:type="continuationSeparator" w:id="0">
    <w:p w:rsidR="00041382" w:rsidRDefault="0004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2725068"/>
    </w:sdtPr>
    <w:sdtEndPr>
      <w:rPr>
        <w:rFonts w:ascii="Times New Roman" w:hAnsi="Times New Roman" w:cs="Times New Roman"/>
        <w:sz w:val="24"/>
      </w:rPr>
    </w:sdtEndPr>
    <w:sdtContent>
      <w:p w:rsidR="00C844E6" w:rsidRPr="00096001" w:rsidRDefault="00FB29F3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96001">
          <w:rPr>
            <w:rFonts w:ascii="Times New Roman" w:hAnsi="Times New Roman" w:cs="Times New Roman"/>
            <w:sz w:val="24"/>
          </w:rPr>
          <w:fldChar w:fldCharType="begin"/>
        </w:r>
        <w:r w:rsidR="00C844E6" w:rsidRPr="00096001">
          <w:rPr>
            <w:rFonts w:ascii="Times New Roman" w:hAnsi="Times New Roman" w:cs="Times New Roman"/>
            <w:sz w:val="24"/>
          </w:rPr>
          <w:instrText>PAGE   \* MERGEFORMAT</w:instrText>
        </w:r>
        <w:r w:rsidRPr="00096001">
          <w:rPr>
            <w:rFonts w:ascii="Times New Roman" w:hAnsi="Times New Roman" w:cs="Times New Roman"/>
            <w:sz w:val="24"/>
          </w:rPr>
          <w:fldChar w:fldCharType="separate"/>
        </w:r>
        <w:r w:rsidR="005F6648">
          <w:rPr>
            <w:rFonts w:ascii="Times New Roman" w:hAnsi="Times New Roman" w:cs="Times New Roman"/>
            <w:noProof/>
            <w:sz w:val="24"/>
          </w:rPr>
          <w:t>4</w:t>
        </w:r>
        <w:r w:rsidRPr="0009600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844E6" w:rsidRDefault="00C844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4C7"/>
    <w:multiLevelType w:val="hybridMultilevel"/>
    <w:tmpl w:val="B33EF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DBB"/>
    <w:multiLevelType w:val="hybridMultilevel"/>
    <w:tmpl w:val="FB8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37AD1"/>
    <w:multiLevelType w:val="hybridMultilevel"/>
    <w:tmpl w:val="076048E6"/>
    <w:lvl w:ilvl="0" w:tplc="4C40B7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D3CE1"/>
    <w:multiLevelType w:val="hybridMultilevel"/>
    <w:tmpl w:val="6A1C12E8"/>
    <w:lvl w:ilvl="0" w:tplc="C7B88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502E1"/>
    <w:multiLevelType w:val="hybridMultilevel"/>
    <w:tmpl w:val="4B44EEAE"/>
    <w:lvl w:ilvl="0" w:tplc="4C40B7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E5195"/>
    <w:multiLevelType w:val="hybridMultilevel"/>
    <w:tmpl w:val="EE76D378"/>
    <w:lvl w:ilvl="0" w:tplc="DFBE274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5CA32CD4"/>
    <w:multiLevelType w:val="hybridMultilevel"/>
    <w:tmpl w:val="C506F3E0"/>
    <w:lvl w:ilvl="0" w:tplc="49664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B0DED"/>
    <w:multiLevelType w:val="hybridMultilevel"/>
    <w:tmpl w:val="79ECB2A4"/>
    <w:lvl w:ilvl="0" w:tplc="F74A71C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64BA0E32"/>
    <w:multiLevelType w:val="hybridMultilevel"/>
    <w:tmpl w:val="7982DA7C"/>
    <w:lvl w:ilvl="0" w:tplc="C7B88F3A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71161A54"/>
    <w:multiLevelType w:val="hybridMultilevel"/>
    <w:tmpl w:val="7144E1E6"/>
    <w:lvl w:ilvl="0" w:tplc="4C40B70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B06B8"/>
    <w:multiLevelType w:val="hybridMultilevel"/>
    <w:tmpl w:val="8E9462DA"/>
    <w:lvl w:ilvl="0" w:tplc="C0367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7B8"/>
    <w:rsid w:val="00041382"/>
    <w:rsid w:val="000743D9"/>
    <w:rsid w:val="000747E8"/>
    <w:rsid w:val="00080E46"/>
    <w:rsid w:val="00081F3F"/>
    <w:rsid w:val="000A1FAA"/>
    <w:rsid w:val="000A7D7A"/>
    <w:rsid w:val="000C084C"/>
    <w:rsid w:val="000E26E2"/>
    <w:rsid w:val="000F7D35"/>
    <w:rsid w:val="0010118A"/>
    <w:rsid w:val="0010798A"/>
    <w:rsid w:val="00112085"/>
    <w:rsid w:val="001753F5"/>
    <w:rsid w:val="00182D82"/>
    <w:rsid w:val="001849D3"/>
    <w:rsid w:val="00184BE5"/>
    <w:rsid w:val="001A229E"/>
    <w:rsid w:val="001B703B"/>
    <w:rsid w:val="001B7AA9"/>
    <w:rsid w:val="001F12F1"/>
    <w:rsid w:val="00206CCE"/>
    <w:rsid w:val="00213C4A"/>
    <w:rsid w:val="002345E1"/>
    <w:rsid w:val="00244C74"/>
    <w:rsid w:val="00283591"/>
    <w:rsid w:val="002B3DF7"/>
    <w:rsid w:val="002F2608"/>
    <w:rsid w:val="00330898"/>
    <w:rsid w:val="00335FFB"/>
    <w:rsid w:val="00340EBD"/>
    <w:rsid w:val="003A071C"/>
    <w:rsid w:val="003A5CC7"/>
    <w:rsid w:val="003A6852"/>
    <w:rsid w:val="003A6DB7"/>
    <w:rsid w:val="003A7531"/>
    <w:rsid w:val="00401379"/>
    <w:rsid w:val="0044061D"/>
    <w:rsid w:val="0044468C"/>
    <w:rsid w:val="00481148"/>
    <w:rsid w:val="004829FB"/>
    <w:rsid w:val="00491CE8"/>
    <w:rsid w:val="004D1A4E"/>
    <w:rsid w:val="004D1E96"/>
    <w:rsid w:val="00512EC6"/>
    <w:rsid w:val="00524149"/>
    <w:rsid w:val="005645E4"/>
    <w:rsid w:val="00577169"/>
    <w:rsid w:val="005B3CC0"/>
    <w:rsid w:val="005D2698"/>
    <w:rsid w:val="005F1FED"/>
    <w:rsid w:val="005F6648"/>
    <w:rsid w:val="00610135"/>
    <w:rsid w:val="006308EC"/>
    <w:rsid w:val="00631B37"/>
    <w:rsid w:val="00636FEE"/>
    <w:rsid w:val="00647976"/>
    <w:rsid w:val="0065181D"/>
    <w:rsid w:val="00652653"/>
    <w:rsid w:val="00694EF0"/>
    <w:rsid w:val="006B2E00"/>
    <w:rsid w:val="006B631B"/>
    <w:rsid w:val="006C3D16"/>
    <w:rsid w:val="006D386D"/>
    <w:rsid w:val="006D42E9"/>
    <w:rsid w:val="00703E45"/>
    <w:rsid w:val="007227B8"/>
    <w:rsid w:val="007279E9"/>
    <w:rsid w:val="0074031C"/>
    <w:rsid w:val="007415FA"/>
    <w:rsid w:val="00747121"/>
    <w:rsid w:val="007737A6"/>
    <w:rsid w:val="00776BE5"/>
    <w:rsid w:val="007B63E4"/>
    <w:rsid w:val="007B6FF4"/>
    <w:rsid w:val="007B7589"/>
    <w:rsid w:val="007D397C"/>
    <w:rsid w:val="007D7C8F"/>
    <w:rsid w:val="007E02C0"/>
    <w:rsid w:val="007F775A"/>
    <w:rsid w:val="00806146"/>
    <w:rsid w:val="008117F6"/>
    <w:rsid w:val="0081476E"/>
    <w:rsid w:val="00826FC8"/>
    <w:rsid w:val="0084678E"/>
    <w:rsid w:val="00856CB6"/>
    <w:rsid w:val="008628E2"/>
    <w:rsid w:val="0087339C"/>
    <w:rsid w:val="0089318A"/>
    <w:rsid w:val="00897060"/>
    <w:rsid w:val="008A37EB"/>
    <w:rsid w:val="008B4991"/>
    <w:rsid w:val="0090768B"/>
    <w:rsid w:val="009100FA"/>
    <w:rsid w:val="00932395"/>
    <w:rsid w:val="00953A37"/>
    <w:rsid w:val="00955764"/>
    <w:rsid w:val="009B30F6"/>
    <w:rsid w:val="009B5288"/>
    <w:rsid w:val="009E0E95"/>
    <w:rsid w:val="00A25F1A"/>
    <w:rsid w:val="00A6774F"/>
    <w:rsid w:val="00A94EA0"/>
    <w:rsid w:val="00AA2575"/>
    <w:rsid w:val="00AA3BA7"/>
    <w:rsid w:val="00AA72F5"/>
    <w:rsid w:val="00AB0654"/>
    <w:rsid w:val="00AD1C15"/>
    <w:rsid w:val="00B012F5"/>
    <w:rsid w:val="00B01AFD"/>
    <w:rsid w:val="00B10ADB"/>
    <w:rsid w:val="00B550DB"/>
    <w:rsid w:val="00B8416B"/>
    <w:rsid w:val="00B9197D"/>
    <w:rsid w:val="00BF620B"/>
    <w:rsid w:val="00BF6EE7"/>
    <w:rsid w:val="00C01EA4"/>
    <w:rsid w:val="00C06E36"/>
    <w:rsid w:val="00C14E0A"/>
    <w:rsid w:val="00C1684D"/>
    <w:rsid w:val="00C4071B"/>
    <w:rsid w:val="00C4745D"/>
    <w:rsid w:val="00C642F9"/>
    <w:rsid w:val="00C771C8"/>
    <w:rsid w:val="00C844E6"/>
    <w:rsid w:val="00C862AC"/>
    <w:rsid w:val="00CB3B05"/>
    <w:rsid w:val="00D170D2"/>
    <w:rsid w:val="00D47000"/>
    <w:rsid w:val="00D7406F"/>
    <w:rsid w:val="00D84415"/>
    <w:rsid w:val="00D9050E"/>
    <w:rsid w:val="00DA4272"/>
    <w:rsid w:val="00DA4DD1"/>
    <w:rsid w:val="00DD5EDD"/>
    <w:rsid w:val="00DE2C98"/>
    <w:rsid w:val="00DF184D"/>
    <w:rsid w:val="00E02F51"/>
    <w:rsid w:val="00E2641A"/>
    <w:rsid w:val="00E30B46"/>
    <w:rsid w:val="00E6150A"/>
    <w:rsid w:val="00E61797"/>
    <w:rsid w:val="00E65B52"/>
    <w:rsid w:val="00E92458"/>
    <w:rsid w:val="00EA35EE"/>
    <w:rsid w:val="00EB7D63"/>
    <w:rsid w:val="00EF57A2"/>
    <w:rsid w:val="00F21381"/>
    <w:rsid w:val="00F323A4"/>
    <w:rsid w:val="00F35431"/>
    <w:rsid w:val="00F61C92"/>
    <w:rsid w:val="00F63F90"/>
    <w:rsid w:val="00F80CA1"/>
    <w:rsid w:val="00FB29F3"/>
    <w:rsid w:val="00F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27B8"/>
  </w:style>
  <w:style w:type="paragraph" w:styleId="a5">
    <w:name w:val="footer"/>
    <w:basedOn w:val="a"/>
    <w:link w:val="a6"/>
    <w:uiPriority w:val="99"/>
    <w:unhideWhenUsed/>
    <w:rsid w:val="0072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7B8"/>
  </w:style>
  <w:style w:type="paragraph" w:styleId="a7">
    <w:name w:val="Normal (Web)"/>
    <w:basedOn w:val="a"/>
    <w:uiPriority w:val="99"/>
    <w:unhideWhenUsed/>
    <w:rsid w:val="007227B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27B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491C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1C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91CE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9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E8"/>
    <w:rPr>
      <w:rFonts w:ascii="Segoe UI" w:hAnsi="Segoe UI" w:cs="Segoe UI"/>
      <w:sz w:val="18"/>
      <w:szCs w:val="18"/>
    </w:rPr>
  </w:style>
  <w:style w:type="character" w:customStyle="1" w:styleId="align-top">
    <w:name w:val="align-top"/>
    <w:basedOn w:val="a0"/>
    <w:rsid w:val="00E6150A"/>
  </w:style>
  <w:style w:type="paragraph" w:styleId="ae">
    <w:name w:val="annotation subject"/>
    <w:basedOn w:val="aa"/>
    <w:next w:val="aa"/>
    <w:link w:val="af"/>
    <w:uiPriority w:val="99"/>
    <w:semiHidden/>
    <w:unhideWhenUsed/>
    <w:rsid w:val="005F1FED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5F1FE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5DB2-A437-4532-8229-B3E69D0C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Газетдинова</dc:creator>
  <cp:keywords/>
  <dc:description/>
  <cp:lastModifiedBy>user</cp:lastModifiedBy>
  <cp:revision>2</cp:revision>
  <cp:lastPrinted>2020-04-16T07:43:00Z</cp:lastPrinted>
  <dcterms:created xsi:type="dcterms:W3CDTF">2020-07-22T06:11:00Z</dcterms:created>
  <dcterms:modified xsi:type="dcterms:W3CDTF">2020-07-22T06:11:00Z</dcterms:modified>
</cp:coreProperties>
</file>