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173" w:rsidRDefault="00C51001" w:rsidP="00844EF9">
      <w:pPr>
        <w:jc w:val="center"/>
        <w:rPr>
          <w:rFonts w:ascii="Verdana" w:hAnsi="Verdana" w:cstheme="minorHAnsi"/>
          <w:b/>
          <w:sz w:val="28"/>
          <w:szCs w:val="28"/>
        </w:rPr>
      </w:pPr>
      <w:r w:rsidRPr="00703986">
        <w:rPr>
          <w:rFonts w:ascii="Verdana" w:hAnsi="Verdana"/>
          <w:b/>
          <w:sz w:val="28"/>
          <w:szCs w:val="28"/>
        </w:rPr>
        <w:t>Вопросы к коллоквиуму №</w:t>
      </w:r>
      <w:r w:rsidR="00844EF9">
        <w:rPr>
          <w:rFonts w:ascii="Verdana" w:hAnsi="Verdana"/>
          <w:b/>
          <w:sz w:val="28"/>
          <w:szCs w:val="28"/>
        </w:rPr>
        <w:t>3</w:t>
      </w:r>
      <w:r w:rsidRPr="00703986">
        <w:rPr>
          <w:rFonts w:ascii="Verdana" w:hAnsi="Verdana"/>
          <w:b/>
          <w:sz w:val="28"/>
          <w:szCs w:val="28"/>
        </w:rPr>
        <w:t xml:space="preserve">, семестр </w:t>
      </w:r>
      <w:r w:rsidRPr="00703986">
        <w:rPr>
          <w:rFonts w:ascii="Verdana" w:hAnsi="Verdana" w:cstheme="minorHAnsi"/>
          <w:b/>
          <w:sz w:val="28"/>
          <w:szCs w:val="28"/>
          <w:lang w:val="en-US"/>
        </w:rPr>
        <w:t>V</w:t>
      </w:r>
    </w:p>
    <w:p w:rsidR="00DA7114" w:rsidRPr="00933E5A" w:rsidRDefault="00DA7114" w:rsidP="00844EF9">
      <w:pPr>
        <w:pStyle w:val="a4"/>
        <w:numPr>
          <w:ilvl w:val="0"/>
          <w:numId w:val="3"/>
        </w:numPr>
        <w:tabs>
          <w:tab w:val="clear" w:pos="4677"/>
          <w:tab w:val="left" w:pos="0"/>
          <w:tab w:val="center" w:pos="1080"/>
        </w:tabs>
        <w:rPr>
          <w:rFonts w:ascii="Verdana" w:hAnsi="Verdana"/>
          <w:sz w:val="28"/>
          <w:szCs w:val="28"/>
          <w:lang w:eastAsia="ru-RU"/>
        </w:rPr>
      </w:pPr>
      <w:r w:rsidRPr="00933E5A">
        <w:rPr>
          <w:rFonts w:ascii="Verdana" w:hAnsi="Verdana"/>
          <w:sz w:val="28"/>
          <w:szCs w:val="28"/>
        </w:rPr>
        <w:t xml:space="preserve">Определение  понятия  </w:t>
      </w:r>
      <w:bookmarkStart w:id="0" w:name="OCRUncertain974"/>
      <w:r w:rsidRPr="00933E5A">
        <w:rPr>
          <w:rFonts w:ascii="Verdana" w:hAnsi="Verdana"/>
          <w:sz w:val="28"/>
          <w:szCs w:val="28"/>
        </w:rPr>
        <w:t>"иммунопатологические</w:t>
      </w:r>
      <w:bookmarkEnd w:id="0"/>
      <w:r w:rsidRPr="00933E5A">
        <w:rPr>
          <w:rFonts w:ascii="Verdana" w:hAnsi="Verdana"/>
          <w:sz w:val="28"/>
          <w:szCs w:val="28"/>
        </w:rPr>
        <w:t xml:space="preserve"> процессы". Типы иммунных реакций.  </w:t>
      </w:r>
      <w:bookmarkStart w:id="1" w:name="OCRUncertain975"/>
      <w:r w:rsidRPr="00933E5A">
        <w:rPr>
          <w:rFonts w:ascii="Verdana" w:hAnsi="Verdana"/>
          <w:sz w:val="28"/>
          <w:szCs w:val="28"/>
        </w:rPr>
        <w:t>М</w:t>
      </w:r>
      <w:bookmarkEnd w:id="1"/>
      <w:r w:rsidRPr="00933E5A">
        <w:rPr>
          <w:rFonts w:ascii="Verdana" w:hAnsi="Verdana"/>
          <w:sz w:val="28"/>
          <w:szCs w:val="28"/>
        </w:rPr>
        <w:t>етоды морфологического исследования. Этиология. Патогенез.</w:t>
      </w:r>
    </w:p>
    <w:p w:rsidR="00DA7114" w:rsidRPr="00933E5A" w:rsidRDefault="00DA7114" w:rsidP="00844EF9">
      <w:pPr>
        <w:pStyle w:val="a3"/>
        <w:numPr>
          <w:ilvl w:val="0"/>
          <w:numId w:val="3"/>
        </w:numPr>
        <w:spacing w:line="288" w:lineRule="auto"/>
        <w:rPr>
          <w:rFonts w:ascii="Verdana" w:hAnsi="Verdana"/>
          <w:sz w:val="28"/>
          <w:szCs w:val="28"/>
        </w:rPr>
      </w:pPr>
      <w:r w:rsidRPr="00933E5A">
        <w:rPr>
          <w:rFonts w:ascii="Verdana" w:hAnsi="Verdana"/>
          <w:sz w:val="28"/>
          <w:szCs w:val="28"/>
        </w:rPr>
        <w:t xml:space="preserve">Патология </w:t>
      </w:r>
      <w:bookmarkStart w:id="2" w:name="OCRUncertain976"/>
      <w:r w:rsidRPr="00933E5A">
        <w:rPr>
          <w:rFonts w:ascii="Verdana" w:hAnsi="Verdana"/>
          <w:sz w:val="28"/>
          <w:szCs w:val="28"/>
        </w:rPr>
        <w:t>тимуса</w:t>
      </w:r>
      <w:bookmarkEnd w:id="2"/>
      <w:r w:rsidRPr="00933E5A">
        <w:rPr>
          <w:rFonts w:ascii="Verdana" w:hAnsi="Verdana"/>
          <w:sz w:val="28"/>
          <w:szCs w:val="28"/>
        </w:rPr>
        <w:t xml:space="preserve">  </w:t>
      </w:r>
      <w:bookmarkStart w:id="3" w:name="OCRUncertain977"/>
      <w:r w:rsidRPr="00933E5A">
        <w:rPr>
          <w:rFonts w:ascii="Verdana" w:hAnsi="Verdana"/>
          <w:sz w:val="28"/>
          <w:szCs w:val="28"/>
        </w:rPr>
        <w:t>(гипоплазия,</w:t>
      </w:r>
      <w:bookmarkEnd w:id="3"/>
      <w:r w:rsidRPr="00933E5A">
        <w:rPr>
          <w:rFonts w:ascii="Verdana" w:hAnsi="Verdana"/>
          <w:sz w:val="28"/>
          <w:szCs w:val="28"/>
        </w:rPr>
        <w:t xml:space="preserve">  атрофия</w:t>
      </w:r>
      <w:bookmarkStart w:id="4" w:name="OCRUncertain978"/>
      <w:r w:rsidRPr="00933E5A">
        <w:rPr>
          <w:rFonts w:ascii="Verdana" w:hAnsi="Verdana"/>
          <w:sz w:val="28"/>
          <w:szCs w:val="28"/>
        </w:rPr>
        <w:t>,</w:t>
      </w:r>
      <w:bookmarkEnd w:id="4"/>
      <w:r w:rsidRPr="00933E5A">
        <w:rPr>
          <w:rFonts w:ascii="Verdana" w:hAnsi="Verdana"/>
          <w:sz w:val="28"/>
          <w:szCs w:val="28"/>
        </w:rPr>
        <w:t xml:space="preserve">  гиперплазия, </w:t>
      </w:r>
      <w:bookmarkStart w:id="5" w:name="OCRUncertain979"/>
      <w:proofErr w:type="spellStart"/>
      <w:r w:rsidRPr="00933E5A">
        <w:rPr>
          <w:rFonts w:ascii="Verdana" w:hAnsi="Verdana"/>
          <w:sz w:val="28"/>
          <w:szCs w:val="28"/>
        </w:rPr>
        <w:t>тимомегалия</w:t>
      </w:r>
      <w:proofErr w:type="spellEnd"/>
      <w:r w:rsidRPr="00933E5A">
        <w:rPr>
          <w:rFonts w:ascii="Verdana" w:hAnsi="Verdana"/>
          <w:sz w:val="28"/>
          <w:szCs w:val="28"/>
        </w:rPr>
        <w:t>).</w:t>
      </w:r>
      <w:bookmarkEnd w:id="5"/>
      <w:r w:rsidRPr="00933E5A">
        <w:rPr>
          <w:rFonts w:ascii="Verdana" w:hAnsi="Verdana"/>
          <w:sz w:val="28"/>
          <w:szCs w:val="28"/>
        </w:rPr>
        <w:t xml:space="preserve"> </w:t>
      </w:r>
      <w:bookmarkStart w:id="6" w:name="OCRUncertain980"/>
      <w:r w:rsidRPr="00933E5A">
        <w:rPr>
          <w:rFonts w:ascii="Verdana" w:hAnsi="Verdana"/>
          <w:sz w:val="28"/>
          <w:szCs w:val="28"/>
        </w:rPr>
        <w:t>Морфологическая</w:t>
      </w:r>
      <w:bookmarkEnd w:id="6"/>
      <w:r w:rsidRPr="00933E5A">
        <w:rPr>
          <w:rFonts w:ascii="Verdana" w:hAnsi="Verdana"/>
          <w:sz w:val="28"/>
          <w:szCs w:val="28"/>
        </w:rPr>
        <w:t xml:space="preserve"> картина.</w:t>
      </w:r>
    </w:p>
    <w:p w:rsidR="00DA7114" w:rsidRPr="00933E5A" w:rsidRDefault="00DA7114" w:rsidP="00844EF9">
      <w:pPr>
        <w:pStyle w:val="a3"/>
        <w:numPr>
          <w:ilvl w:val="0"/>
          <w:numId w:val="3"/>
        </w:numPr>
        <w:spacing w:line="288" w:lineRule="auto"/>
        <w:rPr>
          <w:rFonts w:ascii="Verdana" w:hAnsi="Verdana"/>
          <w:sz w:val="28"/>
          <w:szCs w:val="28"/>
        </w:rPr>
      </w:pPr>
      <w:r w:rsidRPr="00933E5A">
        <w:rPr>
          <w:rFonts w:ascii="Verdana" w:hAnsi="Verdana"/>
          <w:sz w:val="28"/>
          <w:szCs w:val="28"/>
        </w:rPr>
        <w:t xml:space="preserve">Изменения периферической </w:t>
      </w:r>
      <w:bookmarkStart w:id="7" w:name="OCRUncertain981"/>
      <w:r w:rsidRPr="00933E5A">
        <w:rPr>
          <w:rFonts w:ascii="Verdana" w:hAnsi="Verdana"/>
          <w:sz w:val="28"/>
          <w:szCs w:val="28"/>
        </w:rPr>
        <w:t>лимфоидной</w:t>
      </w:r>
      <w:bookmarkEnd w:id="7"/>
      <w:r w:rsidRPr="00933E5A">
        <w:rPr>
          <w:rFonts w:ascii="Verdana" w:hAnsi="Verdana"/>
          <w:sz w:val="28"/>
          <w:szCs w:val="28"/>
        </w:rPr>
        <w:t xml:space="preserve"> ткани при  нарушениях </w:t>
      </w:r>
      <w:bookmarkStart w:id="8" w:name="OCRUncertain982"/>
      <w:r w:rsidRPr="00933E5A">
        <w:rPr>
          <w:rFonts w:ascii="Verdana" w:hAnsi="Verdana"/>
          <w:sz w:val="28"/>
          <w:szCs w:val="28"/>
        </w:rPr>
        <w:t>иммуногенеза.</w:t>
      </w:r>
      <w:bookmarkEnd w:id="8"/>
      <w:r w:rsidRPr="00933E5A">
        <w:rPr>
          <w:rFonts w:ascii="Verdana" w:hAnsi="Verdana"/>
          <w:sz w:val="28"/>
          <w:szCs w:val="28"/>
        </w:rPr>
        <w:t xml:space="preserve"> Типы патологии. Морфологическая картина.</w:t>
      </w:r>
    </w:p>
    <w:p w:rsidR="00DA7114" w:rsidRPr="00933E5A" w:rsidRDefault="00DA7114" w:rsidP="00844EF9">
      <w:pPr>
        <w:pStyle w:val="a3"/>
        <w:numPr>
          <w:ilvl w:val="0"/>
          <w:numId w:val="3"/>
        </w:numPr>
        <w:spacing w:line="288" w:lineRule="auto"/>
        <w:rPr>
          <w:rFonts w:ascii="Verdana" w:hAnsi="Verdana"/>
          <w:sz w:val="28"/>
          <w:szCs w:val="28"/>
        </w:rPr>
      </w:pPr>
      <w:bookmarkStart w:id="9" w:name="OCRUncertain984"/>
      <w:r w:rsidRPr="00933E5A">
        <w:rPr>
          <w:rFonts w:ascii="Verdana" w:hAnsi="Verdana"/>
          <w:sz w:val="28"/>
          <w:szCs w:val="28"/>
        </w:rPr>
        <w:t>Аутоиммунные</w:t>
      </w:r>
      <w:bookmarkEnd w:id="9"/>
      <w:r w:rsidRPr="00933E5A">
        <w:rPr>
          <w:rFonts w:ascii="Verdana" w:hAnsi="Verdana"/>
          <w:sz w:val="28"/>
          <w:szCs w:val="28"/>
        </w:rPr>
        <w:t xml:space="preserve"> заболевания.  Этиология. Патогенез</w:t>
      </w:r>
      <w:bookmarkStart w:id="10" w:name="OCRUncertain985"/>
      <w:r w:rsidRPr="00933E5A">
        <w:rPr>
          <w:rFonts w:ascii="Verdana" w:hAnsi="Verdana"/>
          <w:sz w:val="28"/>
          <w:szCs w:val="28"/>
        </w:rPr>
        <w:t>,</w:t>
      </w:r>
      <w:bookmarkEnd w:id="10"/>
      <w:r w:rsidRPr="00933E5A">
        <w:rPr>
          <w:rFonts w:ascii="Verdana" w:hAnsi="Verdana"/>
          <w:sz w:val="28"/>
          <w:szCs w:val="28"/>
        </w:rPr>
        <w:t xml:space="preserve"> классификация. </w:t>
      </w:r>
      <w:bookmarkStart w:id="11" w:name="OCRUncertain986"/>
      <w:r w:rsidRPr="00933E5A">
        <w:rPr>
          <w:rFonts w:ascii="Verdana" w:hAnsi="Verdana"/>
          <w:sz w:val="28"/>
          <w:szCs w:val="28"/>
        </w:rPr>
        <w:t>Морфологические</w:t>
      </w:r>
      <w:bookmarkEnd w:id="11"/>
      <w:r w:rsidRPr="00933E5A">
        <w:rPr>
          <w:rFonts w:ascii="Verdana" w:hAnsi="Verdana"/>
          <w:sz w:val="28"/>
          <w:szCs w:val="28"/>
        </w:rPr>
        <w:t xml:space="preserve"> проявления.</w:t>
      </w:r>
    </w:p>
    <w:p w:rsidR="00933E5A" w:rsidRDefault="00DA7114" w:rsidP="00844EF9">
      <w:pPr>
        <w:pStyle w:val="a3"/>
        <w:numPr>
          <w:ilvl w:val="0"/>
          <w:numId w:val="3"/>
        </w:numPr>
        <w:tabs>
          <w:tab w:val="left" w:pos="0"/>
          <w:tab w:val="center" w:pos="1080"/>
        </w:tabs>
        <w:spacing w:line="288" w:lineRule="auto"/>
        <w:rPr>
          <w:rFonts w:ascii="Verdana" w:hAnsi="Verdana"/>
          <w:sz w:val="28"/>
          <w:szCs w:val="28"/>
        </w:rPr>
      </w:pPr>
      <w:r w:rsidRPr="00933E5A">
        <w:rPr>
          <w:rFonts w:ascii="Verdana" w:hAnsi="Verdana"/>
          <w:sz w:val="28"/>
          <w:szCs w:val="28"/>
        </w:rPr>
        <w:t xml:space="preserve">Реакция гиперчувствительности.  Типы. </w:t>
      </w:r>
      <w:bookmarkStart w:id="12" w:name="OCRUncertain987"/>
      <w:r w:rsidRPr="00933E5A">
        <w:rPr>
          <w:rFonts w:ascii="Verdana" w:hAnsi="Verdana"/>
          <w:sz w:val="28"/>
          <w:szCs w:val="28"/>
        </w:rPr>
        <w:t>М</w:t>
      </w:r>
      <w:bookmarkEnd w:id="12"/>
      <w:r w:rsidRPr="00933E5A">
        <w:rPr>
          <w:rFonts w:ascii="Verdana" w:hAnsi="Verdana"/>
          <w:sz w:val="28"/>
          <w:szCs w:val="28"/>
        </w:rPr>
        <w:t>еханизмы развития. Морфологическая характеристика.</w:t>
      </w:r>
      <w:bookmarkStart w:id="13" w:name="OCRUncertain988"/>
    </w:p>
    <w:p w:rsidR="00933E5A" w:rsidRDefault="00DA7114" w:rsidP="00844EF9">
      <w:pPr>
        <w:pStyle w:val="a3"/>
        <w:numPr>
          <w:ilvl w:val="0"/>
          <w:numId w:val="3"/>
        </w:numPr>
        <w:tabs>
          <w:tab w:val="left" w:pos="0"/>
          <w:tab w:val="center" w:pos="1080"/>
        </w:tabs>
        <w:spacing w:line="288" w:lineRule="auto"/>
        <w:rPr>
          <w:rFonts w:ascii="Verdana" w:hAnsi="Verdana"/>
          <w:sz w:val="28"/>
          <w:szCs w:val="28"/>
        </w:rPr>
      </w:pPr>
      <w:proofErr w:type="spellStart"/>
      <w:r w:rsidRPr="00933E5A">
        <w:rPr>
          <w:rFonts w:ascii="Verdana" w:hAnsi="Verdana"/>
          <w:sz w:val="28"/>
          <w:szCs w:val="28"/>
        </w:rPr>
        <w:t>Иммунодефицитные</w:t>
      </w:r>
      <w:bookmarkEnd w:id="13"/>
      <w:proofErr w:type="spellEnd"/>
      <w:r w:rsidRPr="00933E5A">
        <w:rPr>
          <w:rFonts w:ascii="Verdana" w:hAnsi="Verdana"/>
          <w:sz w:val="28"/>
          <w:szCs w:val="28"/>
        </w:rPr>
        <w:t xml:space="preserve"> состояния.  Классификация. Этиология. Патогенез. Морфологические проявления.</w:t>
      </w:r>
    </w:p>
    <w:p w:rsidR="00DA7114" w:rsidRPr="00933E5A" w:rsidRDefault="00DA7114" w:rsidP="00844EF9">
      <w:pPr>
        <w:pStyle w:val="a3"/>
        <w:numPr>
          <w:ilvl w:val="0"/>
          <w:numId w:val="3"/>
        </w:numPr>
        <w:tabs>
          <w:tab w:val="left" w:pos="0"/>
          <w:tab w:val="center" w:pos="1080"/>
        </w:tabs>
        <w:spacing w:line="288" w:lineRule="auto"/>
        <w:rPr>
          <w:rFonts w:ascii="Verdana" w:hAnsi="Verdana"/>
          <w:sz w:val="28"/>
          <w:szCs w:val="28"/>
        </w:rPr>
      </w:pPr>
      <w:r w:rsidRPr="00933E5A">
        <w:rPr>
          <w:rFonts w:ascii="Verdana" w:hAnsi="Verdana"/>
          <w:sz w:val="28"/>
          <w:szCs w:val="28"/>
        </w:rPr>
        <w:t xml:space="preserve">Понятие об опухоли,  опухолевом  росте,  отличительные особенности опухолей.  Теории развития опухолей.  </w:t>
      </w:r>
      <w:bookmarkStart w:id="14" w:name="OCRUncertain1172"/>
      <w:proofErr w:type="spellStart"/>
      <w:r w:rsidRPr="00933E5A">
        <w:rPr>
          <w:rFonts w:ascii="Verdana" w:hAnsi="Verdana"/>
          <w:sz w:val="28"/>
          <w:szCs w:val="28"/>
        </w:rPr>
        <w:t>Предопухолевые</w:t>
      </w:r>
      <w:bookmarkEnd w:id="14"/>
      <w:proofErr w:type="spellEnd"/>
      <w:r w:rsidRPr="00933E5A">
        <w:rPr>
          <w:rFonts w:ascii="Verdana" w:hAnsi="Verdana"/>
          <w:sz w:val="28"/>
          <w:szCs w:val="28"/>
        </w:rPr>
        <w:t xml:space="preserve"> процессы.</w:t>
      </w:r>
    </w:p>
    <w:p w:rsidR="00DA7114" w:rsidRPr="00933E5A" w:rsidRDefault="00DA7114" w:rsidP="00844EF9">
      <w:pPr>
        <w:pStyle w:val="a3"/>
        <w:numPr>
          <w:ilvl w:val="0"/>
          <w:numId w:val="3"/>
        </w:numPr>
        <w:spacing w:line="288" w:lineRule="auto"/>
        <w:rPr>
          <w:rFonts w:ascii="Verdana" w:hAnsi="Verdana"/>
          <w:sz w:val="28"/>
          <w:szCs w:val="28"/>
        </w:rPr>
      </w:pPr>
      <w:r w:rsidRPr="00933E5A">
        <w:rPr>
          <w:rFonts w:ascii="Verdana" w:hAnsi="Verdana"/>
          <w:sz w:val="28"/>
          <w:szCs w:val="28"/>
        </w:rPr>
        <w:t xml:space="preserve">Гистогенез,  </w:t>
      </w:r>
      <w:bookmarkStart w:id="15" w:name="OCRUncertain1173"/>
      <w:r w:rsidRPr="00933E5A">
        <w:rPr>
          <w:rFonts w:ascii="Verdana" w:hAnsi="Verdana"/>
          <w:sz w:val="28"/>
          <w:szCs w:val="28"/>
        </w:rPr>
        <w:t>морфогенез</w:t>
      </w:r>
      <w:bookmarkEnd w:id="15"/>
      <w:r w:rsidRPr="00933E5A">
        <w:rPr>
          <w:rFonts w:ascii="Verdana" w:hAnsi="Verdana"/>
          <w:sz w:val="28"/>
          <w:szCs w:val="28"/>
        </w:rPr>
        <w:t xml:space="preserve"> опухолей. </w:t>
      </w:r>
      <w:bookmarkStart w:id="16" w:name="OCRUncertain1174"/>
      <w:r w:rsidRPr="00933E5A">
        <w:rPr>
          <w:rFonts w:ascii="Verdana" w:hAnsi="Verdana"/>
          <w:sz w:val="28"/>
          <w:szCs w:val="28"/>
        </w:rPr>
        <w:t>Макро-</w:t>
      </w:r>
      <w:bookmarkEnd w:id="16"/>
      <w:r w:rsidRPr="00933E5A">
        <w:rPr>
          <w:rFonts w:ascii="Verdana" w:hAnsi="Verdana"/>
          <w:sz w:val="28"/>
          <w:szCs w:val="28"/>
        </w:rPr>
        <w:t xml:space="preserve"> и микроскопи</w:t>
      </w:r>
      <w:r w:rsidRPr="00933E5A">
        <w:rPr>
          <w:rFonts w:ascii="Verdana" w:hAnsi="Verdana"/>
          <w:sz w:val="28"/>
          <w:szCs w:val="28"/>
        </w:rPr>
        <w:softHyphen/>
        <w:t>ческие признаки опухолей</w:t>
      </w:r>
      <w:bookmarkStart w:id="17" w:name="OCRUncertain1175"/>
      <w:r w:rsidRPr="00933E5A">
        <w:rPr>
          <w:rFonts w:ascii="Verdana" w:hAnsi="Verdana"/>
          <w:sz w:val="28"/>
          <w:szCs w:val="28"/>
        </w:rPr>
        <w:t>,</w:t>
      </w:r>
      <w:bookmarkEnd w:id="17"/>
      <w:r w:rsidRPr="00933E5A">
        <w:rPr>
          <w:rFonts w:ascii="Verdana" w:hAnsi="Verdana"/>
          <w:sz w:val="28"/>
          <w:szCs w:val="28"/>
        </w:rPr>
        <w:t xml:space="preserve"> рост опухоли.</w:t>
      </w:r>
    </w:p>
    <w:p w:rsidR="00DA7114" w:rsidRPr="00933E5A" w:rsidRDefault="00DA7114" w:rsidP="00844EF9">
      <w:pPr>
        <w:pStyle w:val="a3"/>
        <w:numPr>
          <w:ilvl w:val="0"/>
          <w:numId w:val="3"/>
        </w:numPr>
        <w:spacing w:line="288" w:lineRule="auto"/>
        <w:rPr>
          <w:rFonts w:ascii="Verdana" w:hAnsi="Verdana"/>
          <w:sz w:val="28"/>
          <w:szCs w:val="28"/>
        </w:rPr>
      </w:pPr>
      <w:r w:rsidRPr="00933E5A">
        <w:rPr>
          <w:rFonts w:ascii="Verdana" w:hAnsi="Verdana"/>
          <w:sz w:val="28"/>
          <w:szCs w:val="28"/>
        </w:rPr>
        <w:t>Признаки  доброкачественности и злокачественности опу</w:t>
      </w:r>
      <w:r w:rsidRPr="00933E5A">
        <w:rPr>
          <w:rFonts w:ascii="Verdana" w:hAnsi="Verdana"/>
          <w:sz w:val="28"/>
          <w:szCs w:val="28"/>
        </w:rPr>
        <w:softHyphen/>
        <w:t>холей</w:t>
      </w:r>
      <w:proofErr w:type="gramStart"/>
      <w:r w:rsidRPr="00933E5A">
        <w:rPr>
          <w:rFonts w:ascii="Verdana" w:hAnsi="Verdana"/>
          <w:sz w:val="28"/>
          <w:szCs w:val="28"/>
        </w:rPr>
        <w:t>.</w:t>
      </w:r>
      <w:proofErr w:type="gramEnd"/>
      <w:r w:rsidRPr="00933E5A">
        <w:rPr>
          <w:rFonts w:ascii="Verdana" w:hAnsi="Verdana"/>
          <w:sz w:val="28"/>
          <w:szCs w:val="28"/>
        </w:rPr>
        <w:t xml:space="preserve"> </w:t>
      </w:r>
      <w:proofErr w:type="gramStart"/>
      <w:r w:rsidRPr="00933E5A">
        <w:rPr>
          <w:rFonts w:ascii="Verdana" w:hAnsi="Verdana"/>
          <w:sz w:val="28"/>
          <w:szCs w:val="28"/>
        </w:rPr>
        <w:t>с</w:t>
      </w:r>
      <w:proofErr w:type="gramEnd"/>
      <w:r w:rsidRPr="00933E5A">
        <w:rPr>
          <w:rFonts w:ascii="Verdana" w:hAnsi="Verdana"/>
          <w:sz w:val="28"/>
          <w:szCs w:val="28"/>
        </w:rPr>
        <w:t>войства опухолевых клеток. Классификация опухолей.</w:t>
      </w:r>
    </w:p>
    <w:p w:rsidR="00DA7114" w:rsidRPr="00933E5A" w:rsidRDefault="00DA7114" w:rsidP="00844EF9">
      <w:pPr>
        <w:pStyle w:val="a3"/>
        <w:numPr>
          <w:ilvl w:val="0"/>
          <w:numId w:val="3"/>
        </w:numPr>
        <w:spacing w:line="288" w:lineRule="auto"/>
        <w:rPr>
          <w:rFonts w:ascii="Verdana" w:hAnsi="Verdana"/>
          <w:sz w:val="28"/>
          <w:szCs w:val="28"/>
        </w:rPr>
      </w:pPr>
      <w:r w:rsidRPr="00933E5A">
        <w:rPr>
          <w:rFonts w:ascii="Verdana" w:hAnsi="Verdana"/>
          <w:sz w:val="28"/>
          <w:szCs w:val="28"/>
        </w:rPr>
        <w:t xml:space="preserve">Дисплазия и рак. Значение биопсии в онкологии. </w:t>
      </w:r>
    </w:p>
    <w:p w:rsidR="00DA7114" w:rsidRPr="00933E5A" w:rsidRDefault="00DA7114" w:rsidP="00844EF9">
      <w:pPr>
        <w:pStyle w:val="a3"/>
        <w:numPr>
          <w:ilvl w:val="0"/>
          <w:numId w:val="3"/>
        </w:numPr>
        <w:tabs>
          <w:tab w:val="left" w:pos="0"/>
        </w:tabs>
        <w:rPr>
          <w:rFonts w:ascii="Verdana" w:hAnsi="Verdana"/>
          <w:sz w:val="28"/>
          <w:szCs w:val="28"/>
        </w:rPr>
      </w:pPr>
      <w:r w:rsidRPr="00933E5A">
        <w:rPr>
          <w:rFonts w:ascii="Verdana" w:hAnsi="Verdana"/>
          <w:sz w:val="28"/>
          <w:szCs w:val="28"/>
        </w:rPr>
        <w:t>Эпителиальные опухоли (</w:t>
      </w:r>
      <w:proofErr w:type="spellStart"/>
      <w:r w:rsidRPr="00933E5A">
        <w:rPr>
          <w:rFonts w:ascii="Verdana" w:hAnsi="Verdana"/>
          <w:sz w:val="28"/>
          <w:szCs w:val="28"/>
        </w:rPr>
        <w:t>органонеспецифические</w:t>
      </w:r>
      <w:proofErr w:type="spellEnd"/>
      <w:r w:rsidRPr="00933E5A">
        <w:rPr>
          <w:rFonts w:ascii="Verdana" w:hAnsi="Verdana"/>
          <w:sz w:val="28"/>
          <w:szCs w:val="28"/>
        </w:rPr>
        <w:t xml:space="preserve"> и </w:t>
      </w:r>
      <w:proofErr w:type="gramStart"/>
      <w:r w:rsidRPr="00933E5A">
        <w:rPr>
          <w:rFonts w:ascii="Verdana" w:hAnsi="Verdana"/>
          <w:sz w:val="28"/>
          <w:szCs w:val="28"/>
        </w:rPr>
        <w:t>органо</w:t>
      </w:r>
      <w:r w:rsidR="00CA68FF">
        <w:rPr>
          <w:rFonts w:ascii="Verdana" w:hAnsi="Verdana"/>
          <w:sz w:val="28"/>
          <w:szCs w:val="28"/>
        </w:rPr>
        <w:t>-</w:t>
      </w:r>
      <w:r w:rsidRPr="00933E5A">
        <w:rPr>
          <w:rFonts w:ascii="Verdana" w:hAnsi="Verdana"/>
          <w:sz w:val="28"/>
          <w:szCs w:val="28"/>
        </w:rPr>
        <w:t>специфические</w:t>
      </w:r>
      <w:proofErr w:type="gramEnd"/>
      <w:r w:rsidRPr="00933E5A">
        <w:rPr>
          <w:rFonts w:ascii="Verdana" w:hAnsi="Verdana"/>
          <w:sz w:val="28"/>
          <w:szCs w:val="28"/>
        </w:rPr>
        <w:t xml:space="preserve">). </w:t>
      </w:r>
    </w:p>
    <w:p w:rsidR="00933E5A" w:rsidRDefault="00DA7114" w:rsidP="00844EF9">
      <w:pPr>
        <w:pStyle w:val="a3"/>
        <w:numPr>
          <w:ilvl w:val="0"/>
          <w:numId w:val="3"/>
        </w:numPr>
        <w:rPr>
          <w:rFonts w:ascii="Verdana" w:hAnsi="Verdana"/>
          <w:sz w:val="28"/>
          <w:szCs w:val="28"/>
        </w:rPr>
      </w:pPr>
      <w:r w:rsidRPr="00933E5A">
        <w:rPr>
          <w:rFonts w:ascii="Verdana" w:hAnsi="Verdana"/>
          <w:sz w:val="28"/>
          <w:szCs w:val="28"/>
        </w:rPr>
        <w:t>Пути метастазирования.</w:t>
      </w:r>
    </w:p>
    <w:p w:rsidR="00933E5A" w:rsidRDefault="00DA7114" w:rsidP="00844EF9">
      <w:pPr>
        <w:pStyle w:val="a3"/>
        <w:numPr>
          <w:ilvl w:val="0"/>
          <w:numId w:val="3"/>
        </w:numPr>
        <w:rPr>
          <w:rFonts w:ascii="Verdana" w:hAnsi="Verdana"/>
          <w:sz w:val="28"/>
          <w:szCs w:val="28"/>
        </w:rPr>
      </w:pPr>
      <w:r w:rsidRPr="00933E5A">
        <w:rPr>
          <w:rFonts w:ascii="Verdana" w:hAnsi="Verdana"/>
          <w:sz w:val="28"/>
          <w:szCs w:val="28"/>
        </w:rPr>
        <w:t>Опухоли отдельных органов.</w:t>
      </w:r>
    </w:p>
    <w:p w:rsidR="00933E5A" w:rsidRDefault="00DA7114" w:rsidP="00844EF9">
      <w:pPr>
        <w:pStyle w:val="a3"/>
        <w:numPr>
          <w:ilvl w:val="0"/>
          <w:numId w:val="3"/>
        </w:numPr>
        <w:spacing w:line="288" w:lineRule="auto"/>
        <w:ind w:right="100"/>
        <w:rPr>
          <w:rFonts w:ascii="Verdana" w:hAnsi="Verdana"/>
          <w:sz w:val="28"/>
          <w:szCs w:val="28"/>
        </w:rPr>
      </w:pPr>
      <w:r w:rsidRPr="00933E5A">
        <w:rPr>
          <w:rFonts w:ascii="Verdana" w:hAnsi="Verdana"/>
          <w:sz w:val="28"/>
          <w:szCs w:val="28"/>
        </w:rPr>
        <w:t xml:space="preserve">Принципы классификации </w:t>
      </w:r>
      <w:bookmarkStart w:id="18" w:name="OCRUncertain1275"/>
      <w:proofErr w:type="spellStart"/>
      <w:r w:rsidRPr="00933E5A">
        <w:rPr>
          <w:rFonts w:ascii="Verdana" w:hAnsi="Verdana"/>
          <w:sz w:val="28"/>
          <w:szCs w:val="28"/>
        </w:rPr>
        <w:t>мезенхимальных</w:t>
      </w:r>
      <w:bookmarkEnd w:id="18"/>
      <w:proofErr w:type="spellEnd"/>
      <w:r w:rsidRPr="00933E5A">
        <w:rPr>
          <w:rFonts w:ascii="Verdana" w:hAnsi="Verdana"/>
          <w:sz w:val="28"/>
          <w:szCs w:val="28"/>
        </w:rPr>
        <w:t xml:space="preserve"> опухолей. Ги</w:t>
      </w:r>
      <w:bookmarkStart w:id="19" w:name="OCRUncertain1276"/>
      <w:r w:rsidRPr="00933E5A">
        <w:rPr>
          <w:rFonts w:ascii="Verdana" w:hAnsi="Verdana"/>
          <w:sz w:val="28"/>
          <w:szCs w:val="28"/>
        </w:rPr>
        <w:t>с</w:t>
      </w:r>
      <w:bookmarkEnd w:id="19"/>
      <w:r w:rsidRPr="00933E5A">
        <w:rPr>
          <w:rFonts w:ascii="Verdana" w:hAnsi="Verdana"/>
          <w:sz w:val="28"/>
          <w:szCs w:val="28"/>
        </w:rPr>
        <w:t xml:space="preserve">тогенез, </w:t>
      </w:r>
      <w:bookmarkStart w:id="20" w:name="OCRUncertain1277"/>
      <w:r w:rsidRPr="00933E5A">
        <w:rPr>
          <w:rFonts w:ascii="Verdana" w:hAnsi="Verdana"/>
          <w:sz w:val="28"/>
          <w:szCs w:val="28"/>
        </w:rPr>
        <w:t>морфогенез.</w:t>
      </w:r>
      <w:bookmarkEnd w:id="20"/>
      <w:r w:rsidRPr="00933E5A">
        <w:rPr>
          <w:rFonts w:ascii="Verdana" w:hAnsi="Verdana"/>
          <w:sz w:val="28"/>
          <w:szCs w:val="28"/>
        </w:rPr>
        <w:t xml:space="preserve"> Критерии злокачественности и доброкачественности. </w:t>
      </w:r>
      <w:bookmarkStart w:id="21" w:name="OCRUncertain1278"/>
      <w:r w:rsidRPr="00933E5A">
        <w:rPr>
          <w:rFonts w:ascii="Verdana" w:hAnsi="Verdana"/>
          <w:sz w:val="28"/>
          <w:szCs w:val="28"/>
        </w:rPr>
        <w:t>Пути метастазирования.</w:t>
      </w:r>
      <w:bookmarkStart w:id="22" w:name="OCRUncertain1279"/>
      <w:bookmarkEnd w:id="21"/>
    </w:p>
    <w:p w:rsidR="00DA7114" w:rsidRPr="00933E5A" w:rsidRDefault="00DA7114" w:rsidP="00844EF9">
      <w:pPr>
        <w:pStyle w:val="a3"/>
        <w:numPr>
          <w:ilvl w:val="0"/>
          <w:numId w:val="3"/>
        </w:numPr>
        <w:spacing w:line="288" w:lineRule="auto"/>
        <w:ind w:right="100"/>
        <w:rPr>
          <w:rFonts w:ascii="Verdana" w:hAnsi="Verdana"/>
          <w:sz w:val="28"/>
          <w:szCs w:val="28"/>
        </w:rPr>
      </w:pPr>
      <w:r w:rsidRPr="00933E5A">
        <w:rPr>
          <w:rFonts w:ascii="Verdana" w:hAnsi="Verdana"/>
          <w:sz w:val="28"/>
          <w:szCs w:val="28"/>
        </w:rPr>
        <w:t xml:space="preserve">Опухоли </w:t>
      </w:r>
      <w:proofErr w:type="spellStart"/>
      <w:r w:rsidRPr="00933E5A">
        <w:rPr>
          <w:rFonts w:ascii="Verdana" w:hAnsi="Verdana"/>
          <w:sz w:val="28"/>
          <w:szCs w:val="28"/>
        </w:rPr>
        <w:t>меланинообразуюшей</w:t>
      </w:r>
      <w:bookmarkEnd w:id="22"/>
      <w:proofErr w:type="spellEnd"/>
      <w:r w:rsidRPr="00933E5A">
        <w:rPr>
          <w:rFonts w:ascii="Verdana" w:hAnsi="Verdana"/>
          <w:sz w:val="28"/>
          <w:szCs w:val="28"/>
        </w:rPr>
        <w:t xml:space="preserve"> ткани.  </w:t>
      </w:r>
      <w:bookmarkStart w:id="23" w:name="OCRUncertain1280"/>
      <w:r w:rsidRPr="00933E5A">
        <w:rPr>
          <w:rFonts w:ascii="Verdana" w:hAnsi="Verdana"/>
          <w:sz w:val="28"/>
          <w:szCs w:val="28"/>
        </w:rPr>
        <w:t>Л</w:t>
      </w:r>
      <w:bookmarkEnd w:id="23"/>
      <w:r w:rsidRPr="00933E5A">
        <w:rPr>
          <w:rFonts w:ascii="Verdana" w:hAnsi="Verdana"/>
          <w:sz w:val="28"/>
          <w:szCs w:val="28"/>
        </w:rPr>
        <w:t xml:space="preserve">окализация. Гистогенез. </w:t>
      </w:r>
      <w:bookmarkStart w:id="24" w:name="OCRUncertain1281"/>
      <w:r w:rsidRPr="00933E5A">
        <w:rPr>
          <w:rFonts w:ascii="Verdana" w:hAnsi="Verdana"/>
          <w:sz w:val="28"/>
          <w:szCs w:val="28"/>
        </w:rPr>
        <w:t>Морфологическая</w:t>
      </w:r>
      <w:bookmarkEnd w:id="24"/>
      <w:r w:rsidRPr="00933E5A">
        <w:rPr>
          <w:rFonts w:ascii="Verdana" w:hAnsi="Verdana"/>
          <w:sz w:val="28"/>
          <w:szCs w:val="28"/>
        </w:rPr>
        <w:t xml:space="preserve"> характеристика.</w:t>
      </w:r>
    </w:p>
    <w:p w:rsidR="00DA7114" w:rsidRPr="00933E5A" w:rsidRDefault="00DA7114" w:rsidP="00844EF9">
      <w:pPr>
        <w:pStyle w:val="a3"/>
        <w:numPr>
          <w:ilvl w:val="0"/>
          <w:numId w:val="3"/>
        </w:numPr>
        <w:rPr>
          <w:rFonts w:ascii="Verdana" w:hAnsi="Verdana" w:cstheme="minorHAnsi"/>
          <w:sz w:val="28"/>
          <w:szCs w:val="28"/>
        </w:rPr>
      </w:pPr>
      <w:r w:rsidRPr="00933E5A">
        <w:rPr>
          <w:rFonts w:ascii="Verdana" w:hAnsi="Verdana"/>
          <w:sz w:val="28"/>
          <w:szCs w:val="28"/>
        </w:rPr>
        <w:t>Опухоли нервной ткани и оболочек мозга. Классификация. Пути</w:t>
      </w:r>
      <w:r w:rsidRPr="00933E5A">
        <w:rPr>
          <w:rFonts w:ascii="Verdana" w:hAnsi="Verdana"/>
          <w:smallCaps/>
          <w:sz w:val="28"/>
          <w:szCs w:val="28"/>
        </w:rPr>
        <w:t xml:space="preserve"> </w:t>
      </w:r>
      <w:r w:rsidRPr="00933E5A">
        <w:rPr>
          <w:rFonts w:ascii="Verdana" w:hAnsi="Verdana"/>
          <w:sz w:val="28"/>
          <w:szCs w:val="28"/>
        </w:rPr>
        <w:t>метастазирования. Особенности строения.</w:t>
      </w:r>
    </w:p>
    <w:sectPr w:rsidR="00DA7114" w:rsidRPr="00933E5A" w:rsidSect="00844EF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F7ECE"/>
    <w:multiLevelType w:val="hybridMultilevel"/>
    <w:tmpl w:val="02D40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F78AE"/>
    <w:multiLevelType w:val="hybridMultilevel"/>
    <w:tmpl w:val="F866F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D24FA"/>
    <w:multiLevelType w:val="hybridMultilevel"/>
    <w:tmpl w:val="BE5A2AFA"/>
    <w:lvl w:ilvl="0" w:tplc="7B2A7DD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6E117D"/>
    <w:multiLevelType w:val="hybridMultilevel"/>
    <w:tmpl w:val="02C48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2574CE"/>
    <w:multiLevelType w:val="hybridMultilevel"/>
    <w:tmpl w:val="BA666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450DD3"/>
    <w:multiLevelType w:val="hybridMultilevel"/>
    <w:tmpl w:val="21040690"/>
    <w:lvl w:ilvl="0" w:tplc="198A011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51001"/>
    <w:rsid w:val="004867FB"/>
    <w:rsid w:val="0049631B"/>
    <w:rsid w:val="004A3127"/>
    <w:rsid w:val="006C4FAE"/>
    <w:rsid w:val="007020A1"/>
    <w:rsid w:val="00703986"/>
    <w:rsid w:val="00844EF9"/>
    <w:rsid w:val="00933E5A"/>
    <w:rsid w:val="009A4807"/>
    <w:rsid w:val="00B1299E"/>
    <w:rsid w:val="00BC2173"/>
    <w:rsid w:val="00C51001"/>
    <w:rsid w:val="00CA1A93"/>
    <w:rsid w:val="00CA68FF"/>
    <w:rsid w:val="00DA7114"/>
    <w:rsid w:val="00FA6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986"/>
    <w:pPr>
      <w:ind w:left="720"/>
      <w:contextualSpacing/>
    </w:pPr>
  </w:style>
  <w:style w:type="paragraph" w:styleId="a4">
    <w:name w:val="footer"/>
    <w:basedOn w:val="a"/>
    <w:link w:val="a5"/>
    <w:rsid w:val="00DA7114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a5">
    <w:name w:val="Нижний колонтитул Знак"/>
    <w:basedOn w:val="a0"/>
    <w:link w:val="a4"/>
    <w:rsid w:val="00DA7114"/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6</cp:revision>
  <dcterms:created xsi:type="dcterms:W3CDTF">2016-12-12T05:57:00Z</dcterms:created>
  <dcterms:modified xsi:type="dcterms:W3CDTF">2016-12-12T06:12:00Z</dcterms:modified>
</cp:coreProperties>
</file>