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981CF3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Дискретная математи</w:t>
      </w:r>
      <w:r w:rsidR="00365B04">
        <w:rPr>
          <w:b/>
          <w:bCs/>
          <w:sz w:val="28"/>
          <w:szCs w:val="28"/>
        </w:rPr>
        <w:t>ка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81CF3" w:rsidRPr="00981CF3" w:rsidRDefault="00981CF3" w:rsidP="00981CF3">
      <w:pPr>
        <w:pStyle w:val="ab"/>
        <w:spacing w:before="0" w:beforeAutospacing="0" w:afterAutospacing="0"/>
        <w:ind w:firstLine="709"/>
        <w:jc w:val="both"/>
      </w:pPr>
      <w:r w:rsidRPr="00981CF3">
        <w:rPr>
          <w:color w:val="000000"/>
        </w:rPr>
        <w:t>Дисциплина «Дискретная математика» (далее — ДМ) является фундаментом математической кибернетики и важным звеном математического образования. Предмет исследования, методы и задачи ДМ имеют свою специфику, обусловленную отказом о</w:t>
      </w:r>
      <w:r>
        <w:rPr>
          <w:color w:val="000000"/>
        </w:rPr>
        <w:t>т</w:t>
      </w:r>
      <w:r w:rsidRPr="00981CF3">
        <w:rPr>
          <w:color w:val="000000"/>
        </w:rPr>
        <w:t xml:space="preserve"> основополагающих понятий классической математики - </w:t>
      </w:r>
      <w:r>
        <w:rPr>
          <w:color w:val="000000"/>
        </w:rPr>
        <w:t>п</w:t>
      </w:r>
      <w:r w:rsidRPr="00981CF3">
        <w:rPr>
          <w:color w:val="000000"/>
        </w:rPr>
        <w:t>онятий предела и непрерывности.</w:t>
      </w:r>
    </w:p>
    <w:p w:rsidR="00981CF3" w:rsidRPr="00981CF3" w:rsidRDefault="00981CF3" w:rsidP="00981CF3">
      <w:pPr>
        <w:pStyle w:val="ab"/>
        <w:spacing w:before="0" w:beforeAutospacing="0" w:afterAutospacing="0"/>
        <w:ind w:firstLine="709"/>
      </w:pPr>
      <w:r w:rsidRPr="00981CF3">
        <w:rPr>
          <w:color w:val="000000"/>
        </w:rPr>
        <w:t>Преподавание Д</w:t>
      </w:r>
      <w:proofErr w:type="gramStart"/>
      <w:r w:rsidRPr="00981CF3">
        <w:rPr>
          <w:color w:val="000000"/>
        </w:rPr>
        <w:t>M</w:t>
      </w:r>
      <w:proofErr w:type="gramEnd"/>
      <w:r w:rsidRPr="00981CF3">
        <w:rPr>
          <w:color w:val="000000"/>
        </w:rPr>
        <w:t xml:space="preserve"> имеет своей целью ознакомление студентов с основными разделами дискретной математики и её практическим применением.</w:t>
      </w:r>
    </w:p>
    <w:p w:rsidR="00981CF3" w:rsidRPr="00981CF3" w:rsidRDefault="00981CF3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981CF3">
        <w:rPr>
          <w:color w:val="000000"/>
        </w:rPr>
        <w:t>В соответствии с</w:t>
      </w:r>
      <w:r>
        <w:rPr>
          <w:color w:val="000000"/>
        </w:rPr>
        <w:t xml:space="preserve"> э</w:t>
      </w:r>
      <w:r w:rsidRPr="00981CF3">
        <w:rPr>
          <w:color w:val="000000"/>
        </w:rPr>
        <w:t>тим, в курсе Д</w:t>
      </w:r>
      <w:proofErr w:type="gramStart"/>
      <w:r w:rsidRPr="00981CF3">
        <w:rPr>
          <w:color w:val="000000"/>
        </w:rPr>
        <w:t>M</w:t>
      </w:r>
      <w:proofErr w:type="gramEnd"/>
      <w:r>
        <w:rPr>
          <w:color w:val="000000"/>
        </w:rPr>
        <w:t xml:space="preserve"> </w:t>
      </w:r>
      <w:r w:rsidRPr="00981CF3">
        <w:rPr>
          <w:color w:val="000000"/>
        </w:rPr>
        <w:t>ре</w:t>
      </w:r>
      <w:r>
        <w:rPr>
          <w:color w:val="000000"/>
        </w:rPr>
        <w:t>ш</w:t>
      </w:r>
      <w:r w:rsidRPr="00981CF3">
        <w:rPr>
          <w:color w:val="000000"/>
        </w:rPr>
        <w:t>а</w:t>
      </w:r>
      <w:r>
        <w:rPr>
          <w:color w:val="000000"/>
        </w:rPr>
        <w:t>ю</w:t>
      </w:r>
      <w:r w:rsidRPr="00981CF3">
        <w:rPr>
          <w:color w:val="000000"/>
        </w:rPr>
        <w:t>тся задачи приобретения студентами навыков свободного обращения с дискретными объектами, как элементы теории множеств, комбинаторики, функции алгебры логики, схемы из функ</w:t>
      </w:r>
      <w:r>
        <w:rPr>
          <w:color w:val="000000"/>
        </w:rPr>
        <w:t>ц</w:t>
      </w:r>
      <w:r w:rsidRPr="00981CF3">
        <w:rPr>
          <w:color w:val="000000"/>
        </w:rPr>
        <w:t>иональных элементов, элементы теории графов, Изучение всех разделов дисциплины сопровождается построением алгоритмов для решения задач ДМ, что обеспечивает более глубокое понимание предмета и необходимые практические навыки построения алгоритмов для решения дискретных задач.</w:t>
      </w:r>
    </w:p>
    <w:p w:rsidR="00981CF3" w:rsidRPr="00981CF3" w:rsidRDefault="00981CF3" w:rsidP="00981CF3">
      <w:pPr>
        <w:pStyle w:val="ab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981CF3">
        <w:rPr>
          <w:color w:val="000000"/>
        </w:rPr>
        <w:t>Дисциплина «Дискретная математика» является базой для дисциплины «Математическая логика»</w:t>
      </w:r>
      <w:r>
        <w:rPr>
          <w:color w:val="000000"/>
        </w:rPr>
        <w:t>.</w:t>
      </w:r>
    </w:p>
    <w:p w:rsidR="009B0510" w:rsidRDefault="009B0510" w:rsidP="00981CF3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981CF3" w:rsidRPr="00981CF3" w:rsidRDefault="00981CF3" w:rsidP="00981CF3">
      <w:pPr>
        <w:pStyle w:val="ab"/>
        <w:spacing w:before="0" w:beforeAutospacing="0" w:afterAutospacing="0"/>
        <w:ind w:firstLine="709"/>
        <w:jc w:val="both"/>
      </w:pPr>
      <w:r w:rsidRPr="00981CF3">
        <w:rPr>
          <w:color w:val="000000"/>
        </w:rPr>
        <w:t>Курс входит в вариативную часть блока 1 «Дисциплины (модули)». Основной Образовательной Программы бакалавриата по направлению подготовки 15.03.04 Автоматизация технологических процессов и производств.</w:t>
      </w:r>
    </w:p>
    <w:p w:rsidR="00981CF3" w:rsidRPr="00981CF3" w:rsidRDefault="00981CF3" w:rsidP="00981CF3">
      <w:pPr>
        <w:pStyle w:val="ab"/>
        <w:spacing w:before="0" w:beforeAutospacing="0" w:afterAutospacing="0"/>
        <w:ind w:firstLine="709"/>
        <w:jc w:val="both"/>
      </w:pPr>
      <w:r w:rsidRPr="00981CF3">
        <w:rPr>
          <w:color w:val="000000"/>
        </w:rPr>
        <w:t>Дисциплина закладывает фундаментальные математические знания необходимые для изучения основных математических курсов математического и естественнонаучного цикла и дисциплин профессионального цикла этой ООП.</w:t>
      </w:r>
    </w:p>
    <w:p w:rsidR="007F2A8B" w:rsidRDefault="007F2A8B" w:rsidP="007F2A8B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981CF3" w:rsidRDefault="00981CF3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981CF3">
        <w:rPr>
          <w:color w:val="000000"/>
        </w:rPr>
        <w:t xml:space="preserve">Процесс изучения дисциплины, в соответствии с целями основной образовательной программы и задачами профессиональной деятельности, направлен на формирование следующих компетенций: </w:t>
      </w:r>
    </w:p>
    <w:p w:rsidR="00981CF3" w:rsidRDefault="00981CF3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981CF3">
        <w:rPr>
          <w:i/>
          <w:color w:val="000000"/>
        </w:rPr>
        <w:t>общекультурные компетенции (OK):</w:t>
      </w:r>
      <w:r w:rsidRPr="00981CF3">
        <w:rPr>
          <w:color w:val="000000"/>
        </w:rPr>
        <w:t xml:space="preserve"> </w:t>
      </w:r>
    </w:p>
    <w:p w:rsidR="00981CF3" w:rsidRDefault="00981CF3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981CF3">
        <w:rPr>
          <w:color w:val="000000"/>
        </w:rPr>
        <w:t>- способность к самоорганизации и самообразованию (ОК-5);</w:t>
      </w:r>
    </w:p>
    <w:p w:rsidR="00981CF3" w:rsidRDefault="00981CF3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981CF3">
        <w:rPr>
          <w:i/>
          <w:color w:val="000000"/>
        </w:rPr>
        <w:t>общепрофессиональные компетенции (О</w:t>
      </w:r>
      <w:r>
        <w:rPr>
          <w:i/>
          <w:color w:val="000000"/>
        </w:rPr>
        <w:t>П</w:t>
      </w:r>
      <w:r w:rsidRPr="00981CF3">
        <w:rPr>
          <w:i/>
          <w:color w:val="000000"/>
        </w:rPr>
        <w:t>К):</w:t>
      </w:r>
      <w:r w:rsidRPr="00981CF3">
        <w:rPr>
          <w:color w:val="000000"/>
        </w:rPr>
        <w:t xml:space="preserve"> </w:t>
      </w:r>
    </w:p>
    <w:p w:rsidR="00981CF3" w:rsidRPr="00981CF3" w:rsidRDefault="00981CF3" w:rsidP="00981CF3">
      <w:pPr>
        <w:pStyle w:val="ab"/>
        <w:spacing w:before="0" w:beforeAutospacing="0" w:afterAutospacing="0"/>
        <w:ind w:firstLine="709"/>
        <w:jc w:val="both"/>
      </w:pPr>
      <w:r w:rsidRPr="00981CF3">
        <w:rPr>
          <w:color w:val="000000"/>
        </w:rPr>
        <w:lastRenderedPageBreak/>
        <w:t>- с</w:t>
      </w:r>
      <w:r>
        <w:rPr>
          <w:color w:val="000000"/>
        </w:rPr>
        <w:t>п</w:t>
      </w:r>
      <w:r w:rsidRPr="00981CF3">
        <w:rPr>
          <w:color w:val="000000"/>
        </w:rPr>
        <w:t>особность использовать основные закономерности, действу</w:t>
      </w:r>
      <w:r>
        <w:rPr>
          <w:color w:val="000000"/>
        </w:rPr>
        <w:t>ю</w:t>
      </w:r>
      <w:r w:rsidRPr="00981CF3">
        <w:rPr>
          <w:color w:val="000000"/>
        </w:rPr>
        <w:t>щие в процессе изготовления продукции требуемого качества, заданного количества при наимен</w:t>
      </w:r>
      <w:r>
        <w:rPr>
          <w:color w:val="000000"/>
        </w:rPr>
        <w:t>ьш</w:t>
      </w:r>
      <w:r w:rsidRPr="00981CF3">
        <w:rPr>
          <w:color w:val="000000"/>
        </w:rPr>
        <w:t>их затратах общественного труда (ОПК-1);</w:t>
      </w:r>
    </w:p>
    <w:p w:rsidR="00981CF3" w:rsidRDefault="009D093E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981CF3" w:rsidRPr="00981CF3">
        <w:rPr>
          <w:color w:val="000000"/>
        </w:rPr>
        <w:t>способность участвовать в разработке обобщенных вариантов решения проблем</w:t>
      </w:r>
      <w:proofErr w:type="gramStart"/>
      <w:r w:rsidR="00981CF3" w:rsidRPr="00981CF3">
        <w:rPr>
          <w:color w:val="000000"/>
        </w:rPr>
        <w:t>.</w:t>
      </w:r>
      <w:proofErr w:type="gramEnd"/>
      <w:r w:rsidR="00981CF3" w:rsidRPr="00981CF3">
        <w:rPr>
          <w:color w:val="000000"/>
        </w:rPr>
        <w:t xml:space="preserve"> </w:t>
      </w:r>
      <w:proofErr w:type="gramStart"/>
      <w:r w:rsidR="00981CF3" w:rsidRPr="00981CF3">
        <w:rPr>
          <w:color w:val="000000"/>
        </w:rPr>
        <w:t>с</w:t>
      </w:r>
      <w:proofErr w:type="gramEnd"/>
      <w:r w:rsidR="00981CF3" w:rsidRPr="00981CF3">
        <w:rPr>
          <w:color w:val="000000"/>
        </w:rPr>
        <w:t>вязанных с автоматизацией производств, выборе на основе анализа вариантов оптимального прогнозирования последствий решения (О</w:t>
      </w:r>
      <w:r>
        <w:rPr>
          <w:color w:val="000000"/>
        </w:rPr>
        <w:t>П</w:t>
      </w:r>
      <w:r w:rsidR="00981CF3" w:rsidRPr="00981CF3">
        <w:rPr>
          <w:color w:val="000000"/>
        </w:rPr>
        <w:t xml:space="preserve">К-4); </w:t>
      </w:r>
    </w:p>
    <w:p w:rsidR="00981CF3" w:rsidRPr="00981CF3" w:rsidRDefault="00981CF3" w:rsidP="00981CF3">
      <w:pPr>
        <w:pStyle w:val="ab"/>
        <w:spacing w:before="0" w:beforeAutospacing="0" w:afterAutospacing="0"/>
        <w:ind w:firstLine="709"/>
        <w:jc w:val="both"/>
        <w:rPr>
          <w:i/>
          <w:color w:val="000000"/>
        </w:rPr>
      </w:pPr>
      <w:r w:rsidRPr="00981CF3">
        <w:rPr>
          <w:i/>
          <w:color w:val="000000"/>
        </w:rPr>
        <w:t>профессиональные компетенции (</w:t>
      </w:r>
      <w:r>
        <w:rPr>
          <w:i/>
          <w:color w:val="000000"/>
        </w:rPr>
        <w:t>П</w:t>
      </w:r>
      <w:r w:rsidRPr="00981CF3">
        <w:rPr>
          <w:i/>
          <w:color w:val="000000"/>
        </w:rPr>
        <w:t xml:space="preserve">К); </w:t>
      </w:r>
    </w:p>
    <w:p w:rsidR="00981CF3" w:rsidRDefault="00981CF3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981CF3">
        <w:rPr>
          <w:i/>
          <w:color w:val="000000"/>
        </w:rPr>
        <w:t>проектно-конструкторская деятельность.</w:t>
      </w:r>
      <w:r w:rsidRPr="00981CF3">
        <w:rPr>
          <w:color w:val="000000"/>
        </w:rPr>
        <w:t xml:space="preserve"> </w:t>
      </w:r>
    </w:p>
    <w:p w:rsidR="00E22AB0" w:rsidRDefault="00981CF3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981CF3">
        <w:rPr>
          <w:color w:val="000000"/>
        </w:rPr>
        <w:t>- способность выбирать основные и вс</w:t>
      </w:r>
      <w:r>
        <w:rPr>
          <w:color w:val="000000"/>
        </w:rPr>
        <w:t>п</w:t>
      </w:r>
      <w:r w:rsidRPr="00981CF3">
        <w:rPr>
          <w:color w:val="000000"/>
        </w:rPr>
        <w:t xml:space="preserve">омогательные материалы для изготовления изделий, способы реализации основных технологических процессов, аналитические и численные методы </w:t>
      </w:r>
      <w:r>
        <w:rPr>
          <w:color w:val="000000"/>
        </w:rPr>
        <w:t>п</w:t>
      </w:r>
      <w:r w:rsidRPr="00981CF3">
        <w:rPr>
          <w:color w:val="000000"/>
        </w:rPr>
        <w:t>ри разработке их математических моделей, методы стандартных испытаний по определению физико-механических свойств и технологических показателей</w:t>
      </w:r>
      <w:r>
        <w:rPr>
          <w:color w:val="000000"/>
        </w:rPr>
        <w:t xml:space="preserve"> </w:t>
      </w:r>
      <w:r w:rsidRPr="00981CF3">
        <w:rPr>
          <w:color w:val="000000"/>
        </w:rPr>
        <w:t>материалов и готовых изделий, стандартные методы их проектирования, прогрессивные методы эксплуатации изделий (</w:t>
      </w:r>
      <w:r w:rsidR="00E22AB0">
        <w:rPr>
          <w:color w:val="000000"/>
        </w:rPr>
        <w:t>П</w:t>
      </w:r>
      <w:r w:rsidRPr="00981CF3">
        <w:rPr>
          <w:color w:val="000000"/>
        </w:rPr>
        <w:t xml:space="preserve">К-2); </w:t>
      </w:r>
    </w:p>
    <w:p w:rsidR="00E22AB0" w:rsidRPr="00E22AB0" w:rsidRDefault="00981CF3" w:rsidP="00981CF3">
      <w:pPr>
        <w:pStyle w:val="ab"/>
        <w:spacing w:before="0" w:beforeAutospacing="0" w:afterAutospacing="0"/>
        <w:ind w:firstLine="709"/>
        <w:jc w:val="both"/>
        <w:rPr>
          <w:i/>
          <w:color w:val="000000"/>
        </w:rPr>
      </w:pPr>
      <w:r w:rsidRPr="00E22AB0">
        <w:rPr>
          <w:i/>
          <w:color w:val="000000"/>
        </w:rPr>
        <w:t>научно-исследовательская деятельность</w:t>
      </w:r>
      <w:r w:rsidR="00E22AB0" w:rsidRPr="00E22AB0">
        <w:rPr>
          <w:i/>
          <w:color w:val="000000"/>
        </w:rPr>
        <w:t>:</w:t>
      </w:r>
      <w:r w:rsidRPr="00E22AB0">
        <w:rPr>
          <w:i/>
          <w:color w:val="000000"/>
        </w:rPr>
        <w:t xml:space="preserve"> </w:t>
      </w:r>
    </w:p>
    <w:p w:rsidR="00E22AB0" w:rsidRDefault="00981CF3" w:rsidP="00981CF3">
      <w:pPr>
        <w:pStyle w:val="ab"/>
        <w:spacing w:before="0" w:beforeAutospacing="0" w:afterAutospacing="0"/>
        <w:ind w:firstLine="709"/>
        <w:jc w:val="both"/>
        <w:rPr>
          <w:color w:val="000000"/>
        </w:rPr>
      </w:pPr>
      <w:r w:rsidRPr="00981CF3">
        <w:rPr>
          <w:color w:val="000000"/>
        </w:rPr>
        <w:t xml:space="preserve">- способность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</w:t>
      </w:r>
      <w:r w:rsidR="00E22AB0">
        <w:rPr>
          <w:color w:val="000000"/>
        </w:rPr>
        <w:t>п</w:t>
      </w:r>
      <w:r w:rsidRPr="00981CF3">
        <w:rPr>
          <w:color w:val="000000"/>
        </w:rPr>
        <w:t xml:space="preserve">родукции, компьютерных систем </w:t>
      </w:r>
      <w:r w:rsidR="00E22AB0">
        <w:rPr>
          <w:color w:val="000000"/>
        </w:rPr>
        <w:t>управления ее качеством (ПК-18)</w:t>
      </w:r>
      <w:r w:rsidRPr="00981CF3">
        <w:rPr>
          <w:color w:val="000000"/>
        </w:rPr>
        <w:t xml:space="preserve">; </w:t>
      </w:r>
    </w:p>
    <w:p w:rsidR="00981CF3" w:rsidRPr="00981CF3" w:rsidRDefault="00981CF3" w:rsidP="00981CF3">
      <w:pPr>
        <w:pStyle w:val="ab"/>
        <w:spacing w:before="0" w:beforeAutospacing="0" w:afterAutospacing="0"/>
        <w:ind w:firstLine="709"/>
        <w:jc w:val="both"/>
      </w:pPr>
      <w:r w:rsidRPr="00981CF3">
        <w:rPr>
          <w:color w:val="000000"/>
        </w:rPr>
        <w:t xml:space="preserve">- способность </w:t>
      </w:r>
      <w:r w:rsidR="00E22AB0">
        <w:rPr>
          <w:color w:val="000000"/>
        </w:rPr>
        <w:t>п</w:t>
      </w:r>
      <w:r w:rsidRPr="00981CF3">
        <w:rPr>
          <w:color w:val="000000"/>
        </w:rPr>
        <w:t>роводит</w:t>
      </w:r>
      <w:r w:rsidR="00E22AB0">
        <w:rPr>
          <w:color w:val="000000"/>
        </w:rPr>
        <w:t>ь</w:t>
      </w:r>
      <w:r w:rsidRPr="00981CF3">
        <w:rPr>
          <w:color w:val="000000"/>
        </w:rPr>
        <w:t xml:space="preserve"> эксперименты по заданным методикам с обра</w:t>
      </w:r>
      <w:r w:rsidR="00E22AB0">
        <w:rPr>
          <w:color w:val="000000"/>
        </w:rPr>
        <w:t>боткой и</w:t>
      </w:r>
      <w:r w:rsidRPr="00981CF3">
        <w:rPr>
          <w:color w:val="000000"/>
        </w:rPr>
        <w:t xml:space="preserve"> анализом их результатов, составлят</w:t>
      </w:r>
      <w:r w:rsidR="00E22AB0">
        <w:rPr>
          <w:color w:val="000000"/>
        </w:rPr>
        <w:t>ь</w:t>
      </w:r>
      <w:r w:rsidRPr="00981CF3">
        <w:rPr>
          <w:color w:val="000000"/>
        </w:rPr>
        <w:t xml:space="preserve"> описания выполненных исследова</w:t>
      </w:r>
      <w:r w:rsidR="00E22AB0">
        <w:rPr>
          <w:color w:val="000000"/>
        </w:rPr>
        <w:t>ний и</w:t>
      </w:r>
      <w:r w:rsidRPr="00981CF3">
        <w:rPr>
          <w:color w:val="000000"/>
        </w:rPr>
        <w:t xml:space="preserve"> подготавливать данные для разработки научных обзоров и публика</w:t>
      </w:r>
      <w:r w:rsidR="00E22AB0">
        <w:rPr>
          <w:color w:val="000000"/>
        </w:rPr>
        <w:t>ц</w:t>
      </w:r>
      <w:r w:rsidRPr="00981CF3">
        <w:rPr>
          <w:color w:val="000000"/>
        </w:rPr>
        <w:t>ий (</w:t>
      </w:r>
      <w:r w:rsidR="00E22AB0">
        <w:rPr>
          <w:color w:val="000000"/>
        </w:rPr>
        <w:t>П</w:t>
      </w:r>
      <w:r w:rsidRPr="00981CF3">
        <w:rPr>
          <w:color w:val="000000"/>
        </w:rPr>
        <w:t>К-20).</w:t>
      </w:r>
    </w:p>
    <w:p w:rsidR="00E22AB0" w:rsidRDefault="00981CF3" w:rsidP="00981CF3">
      <w:pPr>
        <w:pStyle w:val="ab"/>
        <w:spacing w:before="0" w:beforeAutospacing="0" w:afterAutospacing="0"/>
        <w:ind w:firstLine="542"/>
        <w:rPr>
          <w:color w:val="000000"/>
        </w:rPr>
      </w:pPr>
      <w:r w:rsidRPr="00981CF3">
        <w:rPr>
          <w:color w:val="000000"/>
        </w:rPr>
        <w:t xml:space="preserve">В результате освоения дисциплины студент должен: </w:t>
      </w:r>
    </w:p>
    <w:p w:rsidR="00E22AB0" w:rsidRDefault="00981CF3" w:rsidP="00E22AB0">
      <w:pPr>
        <w:pStyle w:val="ab"/>
        <w:spacing w:before="0" w:beforeAutospacing="0" w:afterAutospacing="0"/>
        <w:ind w:firstLine="542"/>
        <w:rPr>
          <w:color w:val="000000"/>
        </w:rPr>
      </w:pPr>
      <w:r w:rsidRPr="00E22AB0">
        <w:rPr>
          <w:b/>
          <w:color w:val="000000"/>
        </w:rPr>
        <w:t>знать:</w:t>
      </w:r>
      <w:r w:rsidRPr="00981CF3">
        <w:rPr>
          <w:color w:val="000000"/>
        </w:rPr>
        <w:t xml:space="preserve"> основные понятия, утверждения, а так же методы исследования, методику построения различных дискретных структур, новей</w:t>
      </w:r>
      <w:r w:rsidR="00E22AB0">
        <w:rPr>
          <w:color w:val="000000"/>
        </w:rPr>
        <w:t>ш</w:t>
      </w:r>
      <w:r w:rsidRPr="00981CF3">
        <w:rPr>
          <w:color w:val="000000"/>
        </w:rPr>
        <w:t>ие достижения дискретной</w:t>
      </w:r>
      <w:r w:rsidR="00E22AB0">
        <w:rPr>
          <w:color w:val="000000"/>
        </w:rPr>
        <w:t xml:space="preserve"> математики;</w:t>
      </w:r>
    </w:p>
    <w:p w:rsidR="00E22AB0" w:rsidRDefault="00981CF3" w:rsidP="00E22AB0">
      <w:pPr>
        <w:pStyle w:val="ab"/>
        <w:spacing w:before="0" w:beforeAutospacing="0" w:afterAutospacing="0"/>
        <w:ind w:firstLine="542"/>
        <w:rPr>
          <w:color w:val="000000"/>
        </w:rPr>
      </w:pPr>
      <w:r w:rsidRPr="00E22AB0">
        <w:rPr>
          <w:b/>
          <w:color w:val="000000"/>
        </w:rPr>
        <w:t>умет</w:t>
      </w:r>
      <w:r w:rsidR="00E22AB0" w:rsidRPr="00E22AB0">
        <w:rPr>
          <w:b/>
          <w:color w:val="000000"/>
        </w:rPr>
        <w:t>ь</w:t>
      </w:r>
      <w:r w:rsidRPr="00981CF3">
        <w:rPr>
          <w:color w:val="000000"/>
        </w:rPr>
        <w:t>: применят</w:t>
      </w:r>
      <w:r w:rsidR="00E22AB0">
        <w:rPr>
          <w:color w:val="000000"/>
        </w:rPr>
        <w:t>ь</w:t>
      </w:r>
      <w:r w:rsidRPr="00981CF3">
        <w:rPr>
          <w:color w:val="000000"/>
        </w:rPr>
        <w:t xml:space="preserve"> методы дискретной математики</w:t>
      </w:r>
      <w:r w:rsidR="00E22AB0">
        <w:rPr>
          <w:color w:val="000000"/>
        </w:rPr>
        <w:t xml:space="preserve"> для решения практических задач;</w:t>
      </w:r>
    </w:p>
    <w:p w:rsidR="00981CF3" w:rsidRPr="00981CF3" w:rsidRDefault="00981CF3" w:rsidP="00E22AB0">
      <w:pPr>
        <w:pStyle w:val="ab"/>
        <w:spacing w:before="0" w:beforeAutospacing="0" w:afterAutospacing="0"/>
        <w:ind w:firstLine="542"/>
      </w:pPr>
      <w:r w:rsidRPr="00E22AB0">
        <w:rPr>
          <w:b/>
          <w:color w:val="000000"/>
        </w:rPr>
        <w:t>владеть:</w:t>
      </w:r>
      <w:r w:rsidRPr="00981CF3">
        <w:rPr>
          <w:color w:val="000000"/>
        </w:rPr>
        <w:t xml:space="preserve"> методами дискретной математики, методикой построения различных дискретных структур, навыками исследования и ре</w:t>
      </w:r>
      <w:r w:rsidR="00E22AB0">
        <w:rPr>
          <w:color w:val="000000"/>
        </w:rPr>
        <w:t>ш</w:t>
      </w:r>
      <w:r w:rsidRPr="00981CF3">
        <w:rPr>
          <w:color w:val="000000"/>
        </w:rPr>
        <w:t>ения задач дискретной математики.</w:t>
      </w:r>
    </w:p>
    <w:p w:rsidR="00981CF3" w:rsidRPr="00956726" w:rsidRDefault="00981CF3" w:rsidP="00956726">
      <w:pPr>
        <w:pStyle w:val="ab"/>
        <w:spacing w:before="0" w:beforeAutospacing="0" w:afterAutospacing="0"/>
        <w:ind w:firstLine="709"/>
        <w:jc w:val="both"/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rFonts w:ascii="TimesNewRomanPSMT" w:hAnsi="TimesNewRomanPSMT" w:cs="TimesNewRomanPSMT"/>
          <w:b w:val="0"/>
          <w:lang w:val="en-US"/>
        </w:rPr>
      </w:pPr>
      <w:r w:rsidRPr="0013215D">
        <w:rPr>
          <w:rFonts w:ascii="TimesNewRomanPSMT" w:hAnsi="TimesNewRomanPSMT" w:cs="TimesNewRomanPSMT"/>
          <w:b w:val="0"/>
        </w:rPr>
        <w:t>Общая трудое</w:t>
      </w:r>
      <w:r w:rsidR="00A13CA4" w:rsidRPr="0013215D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E22AB0">
        <w:rPr>
          <w:rFonts w:ascii="TimesNewRomanPSMT" w:hAnsi="TimesNewRomanPSMT" w:cs="TimesNewRomanPSMT"/>
          <w:b w:val="0"/>
        </w:rPr>
        <w:t>2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proofErr w:type="gramStart"/>
      <w:r w:rsidRPr="0013215D">
        <w:rPr>
          <w:rFonts w:ascii="TimesNewRomanPSMT" w:hAnsi="TimesNewRomanPSMT" w:cs="TimesNewRomanPSMT"/>
          <w:b w:val="0"/>
        </w:rPr>
        <w:t>зачетны</w:t>
      </w:r>
      <w:r w:rsidR="00230D0C">
        <w:rPr>
          <w:rFonts w:ascii="TimesNewRomanPSMT" w:hAnsi="TimesNewRomanPSMT" w:cs="TimesNewRomanPSMT"/>
          <w:b w:val="0"/>
        </w:rPr>
        <w:t>х</w:t>
      </w:r>
      <w:proofErr w:type="gramEnd"/>
      <w:r w:rsidRPr="0013215D">
        <w:rPr>
          <w:rFonts w:ascii="TimesNewRomanPSMT" w:hAnsi="TimesNewRomanPSMT" w:cs="TimesNewRomanPSMT"/>
          <w:b w:val="0"/>
        </w:rPr>
        <w:t xml:space="preserve"> единиц</w:t>
      </w:r>
      <w:r w:rsidR="00E22AB0">
        <w:rPr>
          <w:rFonts w:ascii="TimesNewRomanPSMT" w:hAnsi="TimesNewRomanPSMT" w:cs="TimesNewRomanPSMT"/>
          <w:b w:val="0"/>
        </w:rPr>
        <w:t>ы</w:t>
      </w:r>
      <w:r w:rsidRPr="0013215D">
        <w:rPr>
          <w:rFonts w:ascii="TimesNewRomanPSMT" w:hAnsi="TimesNewRomanPSMT" w:cs="TimesNewRomanPSMT"/>
          <w:b w:val="0"/>
        </w:rPr>
        <w:t xml:space="preserve"> </w:t>
      </w:r>
      <w:r w:rsidR="00BC25EC" w:rsidRPr="0013215D">
        <w:rPr>
          <w:rFonts w:ascii="TimesNewRomanPSMT" w:hAnsi="TimesNewRomanPSMT" w:cs="TimesNewRomanPSMT"/>
          <w:b w:val="0"/>
        </w:rPr>
        <w:t>(</w:t>
      </w:r>
      <w:r w:rsidR="00E22AB0">
        <w:rPr>
          <w:rFonts w:ascii="TimesNewRomanPSMT" w:hAnsi="TimesNewRomanPSMT" w:cs="TimesNewRomanPSMT"/>
          <w:b w:val="0"/>
        </w:rPr>
        <w:t>72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час</w:t>
      </w:r>
      <w:r w:rsidR="00E22AB0">
        <w:rPr>
          <w:rFonts w:ascii="TimesNewRomanPSMT" w:hAnsi="TimesNewRomanPSMT" w:cs="TimesNewRomanPSMT"/>
          <w:b w:val="0"/>
        </w:rPr>
        <w:t>а</w:t>
      </w:r>
      <w:r w:rsidRPr="0013215D">
        <w:rPr>
          <w:rFonts w:ascii="TimesNewRomanPSMT" w:hAnsi="TimesNewRomanPSMT" w:cs="TimesNewRomanPSMT"/>
          <w:b w:val="0"/>
        </w:rPr>
        <w:t>)</w:t>
      </w:r>
      <w:r w:rsidR="006340CA" w:rsidRPr="0013215D">
        <w:rPr>
          <w:rFonts w:ascii="TimesNewRomanPSMT" w:hAnsi="TimesNewRomanPSMT" w:cs="TimesNewRomanPSMT"/>
          <w:b w:val="0"/>
        </w:rPr>
        <w:t>.</w:t>
      </w:r>
    </w:p>
    <w:p w:rsidR="00453D6E" w:rsidRPr="00453D6E" w:rsidRDefault="00453D6E" w:rsidP="006340CA">
      <w:pPr>
        <w:pStyle w:val="1"/>
        <w:numPr>
          <w:ilvl w:val="0"/>
          <w:numId w:val="0"/>
        </w:numPr>
        <w:ind w:firstLine="851"/>
        <w:jc w:val="left"/>
        <w:rPr>
          <w:b w:val="0"/>
          <w:lang w:val="en-US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>В ходе освоения дисциплины при проведен</w:t>
      </w:r>
      <w:proofErr w:type="gramStart"/>
      <w:r w:rsidRPr="0013215D">
        <w:rPr>
          <w:b w:val="0"/>
        </w:rPr>
        <w:t>ии ау</w:t>
      </w:r>
      <w:proofErr w:type="gramEnd"/>
      <w:r w:rsidRPr="0013215D">
        <w:rPr>
          <w:b w:val="0"/>
        </w:rPr>
        <w:t xml:space="preserve">диторных занятий используются следующие образовательные технологии: лекции, </w:t>
      </w:r>
      <w:r w:rsidR="00230D0C">
        <w:rPr>
          <w:b w:val="0"/>
        </w:rPr>
        <w:t>прак</w:t>
      </w:r>
      <w:r w:rsidR="00E22AB0">
        <w:rPr>
          <w:b w:val="0"/>
        </w:rPr>
        <w:t>тические и семинарские занятия</w:t>
      </w:r>
      <w:r w:rsidRPr="0013215D">
        <w:rPr>
          <w:b w:val="0"/>
        </w:rPr>
        <w:t>.</w:t>
      </w:r>
    </w:p>
    <w:p w:rsidR="00D4305C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  <w:lang w:val="en-US"/>
        </w:rPr>
      </w:pPr>
      <w:r w:rsidRPr="0013215D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E22AB0">
        <w:rPr>
          <w:b w:val="0"/>
        </w:rPr>
        <w:t xml:space="preserve">изучение литературы по теме дисциплины, </w:t>
      </w:r>
      <w:r w:rsidRPr="0013215D">
        <w:rPr>
          <w:b w:val="0"/>
        </w:rPr>
        <w:t>консультации.</w:t>
      </w:r>
    </w:p>
    <w:p w:rsidR="00453D6E" w:rsidRPr="00453D6E" w:rsidRDefault="00453D6E" w:rsidP="00E96433">
      <w:pPr>
        <w:pStyle w:val="1"/>
        <w:numPr>
          <w:ilvl w:val="0"/>
          <w:numId w:val="0"/>
        </w:numPr>
        <w:ind w:firstLine="851"/>
        <w:jc w:val="both"/>
        <w:rPr>
          <w:b w:val="0"/>
          <w:lang w:val="en-US"/>
        </w:rPr>
      </w:pPr>
      <w:bookmarkStart w:id="0" w:name="_GoBack"/>
      <w:bookmarkEnd w:id="0"/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Контроль успеваемости</w:t>
      </w:r>
    </w:p>
    <w:p w:rsidR="0052597C" w:rsidRPr="0013215D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r w:rsidRPr="0013215D">
        <w:rPr>
          <w:b w:val="0"/>
        </w:rPr>
        <w:t xml:space="preserve">По данной дисциплине предусмотрена форма отчетности: </w:t>
      </w:r>
      <w:r w:rsidR="00E22AB0">
        <w:rPr>
          <w:b w:val="0"/>
        </w:rPr>
        <w:t>зачет</w:t>
      </w:r>
      <w:r w:rsidRPr="0013215D">
        <w:rPr>
          <w:b w:val="0"/>
        </w:rPr>
        <w:t>.</w:t>
      </w:r>
    </w:p>
    <w:p w:rsidR="00045DAF" w:rsidRPr="0013215D" w:rsidRDefault="0052597C" w:rsidP="00495651">
      <w:pPr>
        <w:pStyle w:val="1"/>
        <w:numPr>
          <w:ilvl w:val="0"/>
          <w:numId w:val="0"/>
        </w:numPr>
        <w:jc w:val="left"/>
      </w:pPr>
      <w:r w:rsidRPr="0013215D">
        <w:rPr>
          <w:b w:val="0"/>
        </w:rPr>
        <w:t>Промежуточная аттестация проводится в форме: текущий ко</w:t>
      </w:r>
      <w:r w:rsidR="00233016" w:rsidRPr="0013215D">
        <w:rPr>
          <w:b w:val="0"/>
        </w:rPr>
        <w:t>нтроль во время учебных занятий</w:t>
      </w:r>
      <w:r w:rsidRPr="0013215D">
        <w:rPr>
          <w:b w:val="0"/>
        </w:rPr>
        <w:t>.</w:t>
      </w:r>
    </w:p>
    <w:sectPr w:rsidR="00045DAF" w:rsidRPr="0013215D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0E" w:rsidRDefault="00AD100E" w:rsidP="006C3DD0">
      <w:r>
        <w:separator/>
      </w:r>
    </w:p>
  </w:endnote>
  <w:endnote w:type="continuationSeparator" w:id="0">
    <w:p w:rsidR="00AD100E" w:rsidRDefault="00AD100E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18" w:rsidRDefault="008E0B1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453D6E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453D6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0E" w:rsidRDefault="00AD100E" w:rsidP="006C3DD0">
      <w:r>
        <w:separator/>
      </w:r>
    </w:p>
  </w:footnote>
  <w:footnote w:type="continuationSeparator" w:id="0">
    <w:p w:rsidR="00AD100E" w:rsidRDefault="00AD100E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E0B18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E0B18" w:rsidRPr="00EE3CE0" w:rsidRDefault="008E0B1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B18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E0B18" w:rsidRPr="00EE3CE0" w:rsidRDefault="008E0B1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E0B18" w:rsidRDefault="008E0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DD719B"/>
    <w:multiLevelType w:val="hybridMultilevel"/>
    <w:tmpl w:val="CC74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3215D"/>
    <w:rsid w:val="00140024"/>
    <w:rsid w:val="002075AB"/>
    <w:rsid w:val="00230D0C"/>
    <w:rsid w:val="00230F2B"/>
    <w:rsid w:val="00233016"/>
    <w:rsid w:val="0025633D"/>
    <w:rsid w:val="0028574D"/>
    <w:rsid w:val="002B28C3"/>
    <w:rsid w:val="002E6315"/>
    <w:rsid w:val="0031243A"/>
    <w:rsid w:val="00314A21"/>
    <w:rsid w:val="0036200E"/>
    <w:rsid w:val="00365B04"/>
    <w:rsid w:val="003968C9"/>
    <w:rsid w:val="003E70A7"/>
    <w:rsid w:val="00453D6E"/>
    <w:rsid w:val="00495651"/>
    <w:rsid w:val="004E7A90"/>
    <w:rsid w:val="0052597C"/>
    <w:rsid w:val="006340CA"/>
    <w:rsid w:val="00696536"/>
    <w:rsid w:val="006C3DD0"/>
    <w:rsid w:val="006C615B"/>
    <w:rsid w:val="006F7ED6"/>
    <w:rsid w:val="007E0D47"/>
    <w:rsid w:val="007F2A8B"/>
    <w:rsid w:val="008474F5"/>
    <w:rsid w:val="008C09C8"/>
    <w:rsid w:val="008E0B18"/>
    <w:rsid w:val="008F1A71"/>
    <w:rsid w:val="009130F7"/>
    <w:rsid w:val="00956726"/>
    <w:rsid w:val="0096023E"/>
    <w:rsid w:val="00981CF3"/>
    <w:rsid w:val="009B0510"/>
    <w:rsid w:val="009D093E"/>
    <w:rsid w:val="00A13CA4"/>
    <w:rsid w:val="00A751B1"/>
    <w:rsid w:val="00A77A50"/>
    <w:rsid w:val="00AD100E"/>
    <w:rsid w:val="00B50D6A"/>
    <w:rsid w:val="00B671E1"/>
    <w:rsid w:val="00B70B6B"/>
    <w:rsid w:val="00B95CC5"/>
    <w:rsid w:val="00BA2C3C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D4305C"/>
    <w:rsid w:val="00E2275F"/>
    <w:rsid w:val="00E22AB0"/>
    <w:rsid w:val="00E6530A"/>
    <w:rsid w:val="00E96433"/>
    <w:rsid w:val="00EB08B2"/>
    <w:rsid w:val="00EC4B3E"/>
    <w:rsid w:val="00ED476B"/>
    <w:rsid w:val="00F1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F2A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AEB0C-7B7D-4E13-93B6-3EEE9B15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6</cp:revision>
  <dcterms:created xsi:type="dcterms:W3CDTF">2017-03-29T08:15:00Z</dcterms:created>
  <dcterms:modified xsi:type="dcterms:W3CDTF">2017-03-31T11:29:00Z</dcterms:modified>
</cp:coreProperties>
</file>