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CA6602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Технологические процессы автоматизированных производств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A6602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Формирование у студентов знаний и умений, необходимых для проектирования эффективных и экономичных технологических процессов (ТП) изготовления деталей машин в условиях современного производства на основе современных научных и технических достижений отечественного и зарубежного машиностроения.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A6602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CA6602" w:rsidRPr="00CA6602" w:rsidRDefault="00CA6602" w:rsidP="00CA6602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Обучение студентов прогрессивным методам технологической подготовки производства обработки заготовок в условиях автоматизированного производства.</w:t>
      </w:r>
    </w:p>
    <w:p w:rsidR="00CA6602" w:rsidRPr="00CA6602" w:rsidRDefault="00CA6602" w:rsidP="00CA6602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 xml:space="preserve">Привитие навыков разработки и </w:t>
      </w:r>
      <w:proofErr w:type="gramStart"/>
      <w:r w:rsidRPr="00CA6602">
        <w:rPr>
          <w:rFonts w:eastAsia="Calibri"/>
          <w:sz w:val="24"/>
          <w:szCs w:val="24"/>
          <w:lang w:eastAsia="en-US"/>
        </w:rPr>
        <w:t>проектирования</w:t>
      </w:r>
      <w:proofErr w:type="gramEnd"/>
      <w:r w:rsidRPr="00CA6602">
        <w:rPr>
          <w:rFonts w:eastAsia="Calibri"/>
          <w:sz w:val="24"/>
          <w:szCs w:val="24"/>
          <w:lang w:eastAsia="en-US"/>
        </w:rPr>
        <w:t xml:space="preserve"> эффективных и экономичных ТП изготовления деталей и узлов машин на станках с ЧПУ, гибких производственных системах (ГПС) и другом оборудовании.</w:t>
      </w:r>
    </w:p>
    <w:p w:rsidR="00CA6602" w:rsidRPr="00CA6602" w:rsidRDefault="00CA6602" w:rsidP="00CA6602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 xml:space="preserve">Изучение </w:t>
      </w:r>
      <w:proofErr w:type="gramStart"/>
      <w:r w:rsidRPr="00CA6602">
        <w:rPr>
          <w:rFonts w:eastAsia="Calibri"/>
          <w:sz w:val="24"/>
          <w:szCs w:val="24"/>
          <w:lang w:eastAsia="en-US"/>
        </w:rPr>
        <w:t>аппарата технико-экономического анализа выбора оптимальных технологических решений изготовления объектов производства</w:t>
      </w:r>
      <w:proofErr w:type="gramEnd"/>
      <w:r w:rsidRPr="00CA6602">
        <w:rPr>
          <w:rFonts w:eastAsia="Calibri"/>
          <w:sz w:val="24"/>
          <w:szCs w:val="24"/>
          <w:lang w:eastAsia="en-US"/>
        </w:rPr>
        <w:t>.</w:t>
      </w:r>
    </w:p>
    <w:p w:rsidR="00CA6602" w:rsidRPr="00CA6602" w:rsidRDefault="00CA6602" w:rsidP="00CA6602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Привитие навыков самостоятельного анализа и исследования технически совершенных и экономически эффективных ТП.</w:t>
      </w:r>
    </w:p>
    <w:p w:rsidR="00CA6602" w:rsidRPr="00CA6602" w:rsidRDefault="00CA6602" w:rsidP="00CA6602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Подготовка студентов к самостоятельному решению технических, организационных и экономических задач в процессе курсового и дипломного проектирования.</w:t>
      </w:r>
    </w:p>
    <w:p w:rsidR="00CA6602" w:rsidRPr="00CA6602" w:rsidRDefault="00CA6602" w:rsidP="00CA6602">
      <w:pPr>
        <w:widowControl/>
        <w:numPr>
          <w:ilvl w:val="1"/>
          <w:numId w:val="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Развитие у студентов навыков работы с руководящей и справочной документацией и привитие им знания основных положений стандартов и нормативных документов.</w:t>
      </w:r>
    </w:p>
    <w:p w:rsidR="00CA6602" w:rsidRPr="00CA6602" w:rsidRDefault="00CA6602" w:rsidP="00CA6602">
      <w:pPr>
        <w:widowControl/>
        <w:ind w:firstLine="567"/>
        <w:jc w:val="both"/>
        <w:rPr>
          <w:rFonts w:eastAsia="Calibri"/>
          <w:sz w:val="24"/>
          <w:szCs w:val="24"/>
        </w:rPr>
      </w:pPr>
      <w:r w:rsidRPr="00CA6602">
        <w:rPr>
          <w:rFonts w:eastAsia="Calibri"/>
          <w:sz w:val="24"/>
          <w:szCs w:val="24"/>
        </w:rPr>
        <w:t>Освоение данной дисциплины обеспечивает выпускнику получение высшего профессионально профилированного образования и обладание перечисленными ниже общими и предметно-специализированными компетенциями. Они способствуют его социальной мобильности, устойчивости на рынке труда и успешной работе в избранной сфере деятельности.</w:t>
      </w:r>
    </w:p>
    <w:p w:rsidR="002A3F80" w:rsidRPr="0080238A" w:rsidRDefault="002A3F80" w:rsidP="0080238A">
      <w:pPr>
        <w:pStyle w:val="a3"/>
        <w:tabs>
          <w:tab w:val="clear" w:pos="4677"/>
          <w:tab w:val="center" w:pos="1134"/>
        </w:tabs>
        <w:ind w:firstLine="851"/>
        <w:jc w:val="both"/>
        <w:rPr>
          <w:rFonts w:eastAsia="Calibri"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CA6602" w:rsidRPr="00CA6602" w:rsidRDefault="00CA6602" w:rsidP="00CA660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Курс входит в базовую часть цикла (Б</w:t>
      </w:r>
      <w:proofErr w:type="gramStart"/>
      <w:r w:rsidRPr="00CA6602">
        <w:rPr>
          <w:rFonts w:ascii="Times New Roman" w:hAnsi="Times New Roman"/>
          <w:sz w:val="24"/>
          <w:szCs w:val="24"/>
        </w:rPr>
        <w:t>1</w:t>
      </w:r>
      <w:proofErr w:type="gramEnd"/>
      <w:r w:rsidRPr="00CA6602">
        <w:rPr>
          <w:rFonts w:ascii="Times New Roman" w:hAnsi="Times New Roman"/>
          <w:sz w:val="24"/>
          <w:szCs w:val="24"/>
        </w:rPr>
        <w:t>.Б) Основной образовательной программы бакалавриата по направлению подготовки 15.03.04 «Автоматизация технологических процессов и производств».</w:t>
      </w:r>
    </w:p>
    <w:p w:rsidR="00CA6602" w:rsidRPr="00CA6602" w:rsidRDefault="00CA6602" w:rsidP="00CA6602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602">
        <w:rPr>
          <w:rFonts w:ascii="Times New Roman" w:hAnsi="Times New Roman"/>
          <w:sz w:val="24"/>
          <w:szCs w:val="24"/>
        </w:rPr>
        <w:t xml:space="preserve">Дисциплина «Технологические процессы автоматизированных производств» изучается в 7 и 8 семестрах. Для </w:t>
      </w:r>
      <w:r w:rsidRPr="00CA6602">
        <w:rPr>
          <w:rFonts w:ascii="Times New Roman" w:hAnsi="Times New Roman"/>
          <w:sz w:val="24"/>
          <w:szCs w:val="24"/>
          <w:lang w:eastAsia="ru-RU"/>
        </w:rPr>
        <w:t>ее изучения нужны следующие компетенции: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sz w:val="24"/>
          <w:szCs w:val="24"/>
        </w:rPr>
        <w:t>сп</w:t>
      </w:r>
      <w:r w:rsidRPr="00CA6602">
        <w:rPr>
          <w:rFonts w:eastAsia="Calibri"/>
          <w:sz w:val="24"/>
          <w:szCs w:val="24"/>
          <w:lang w:eastAsia="en-US"/>
        </w:rPr>
        <w:t>особностью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lastRenderedPageBreak/>
        <w:t>способностью участвовать в разработке технической документации, связанной с профессиональной деятельностью (ОПК-5);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A6602">
        <w:rPr>
          <w:rFonts w:eastAsia="Calibri"/>
          <w:sz w:val="24"/>
          <w:szCs w:val="24"/>
          <w:lang w:eastAsia="en-US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CA6602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CA6602">
        <w:rPr>
          <w:rFonts w:eastAsia="Calibri"/>
          <w:sz w:val="24"/>
          <w:szCs w:val="24"/>
          <w:lang w:eastAsia="en-US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A6602">
        <w:rPr>
          <w:rFonts w:eastAsia="Calibri"/>
          <w:sz w:val="24"/>
          <w:szCs w:val="24"/>
          <w:lang w:eastAsia="en-US"/>
        </w:rPr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CA6602">
        <w:rPr>
          <w:rFonts w:eastAsia="Calibri"/>
          <w:sz w:val="24"/>
          <w:szCs w:val="24"/>
          <w:lang w:eastAsia="en-US"/>
        </w:rPr>
        <w:t xml:space="preserve"> осваивать средства обеспечения автоматизации и управления (ПК-9);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</w:r>
      <w:proofErr w:type="gramStart"/>
      <w:r w:rsidRPr="00CA6602">
        <w:rPr>
          <w:rFonts w:eastAsia="Calibri"/>
          <w:sz w:val="24"/>
          <w:szCs w:val="24"/>
          <w:lang w:eastAsia="en-US"/>
        </w:rPr>
        <w:t>ии и ее</w:t>
      </w:r>
      <w:proofErr w:type="gramEnd"/>
      <w:r w:rsidRPr="00CA6602">
        <w:rPr>
          <w:rFonts w:eastAsia="Calibri"/>
          <w:sz w:val="24"/>
          <w:szCs w:val="24"/>
          <w:lang w:eastAsia="en-US"/>
        </w:rPr>
        <w:t xml:space="preserve"> качеством, систем экологического менеджмента предприятия, по сертификации продукции, процессов, средств автоматизации и управления (ПК-10);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A6602">
        <w:rPr>
          <w:rFonts w:eastAsia="Calibri"/>
          <w:sz w:val="24"/>
          <w:szCs w:val="24"/>
          <w:lang w:eastAsia="en-US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</w:r>
      <w:proofErr w:type="gramEnd"/>
      <w:r w:rsidRPr="00CA6602">
        <w:rPr>
          <w:rFonts w:eastAsia="Calibri"/>
          <w:sz w:val="24"/>
          <w:szCs w:val="24"/>
          <w:lang w:eastAsia="en-US"/>
        </w:rPr>
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 (ПК-11);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инструкции по испытаниям и эксплуатации данных средств и систем, техническую документацию на их ремонт (ПК-27);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разрабатывать практические мероприятия по совершенствованию систем и средств автоматизации и управления изготовлением продукции, ее жизненным циклом и качеством, а также по улучшению качества выпускаемой продукции, технического обеспечения ее изготовления, практическому внедрению мероприятий на производстве; осуществлять производственный контроль их выполнения (ПК-29);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 xml:space="preserve"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</w:t>
      </w:r>
      <w:r w:rsidRPr="00CA6602">
        <w:rPr>
          <w:rFonts w:eastAsia="Calibri"/>
          <w:sz w:val="24"/>
          <w:szCs w:val="24"/>
          <w:lang w:eastAsia="en-US"/>
        </w:rPr>
        <w:lastRenderedPageBreak/>
        <w:t>автоматизации, управления, контроля, диагностики и испытаний, а также по их внедрению на производстве (ПК-30);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участвовать в разработке новых автоматизированных и автоматических технологий производства продукции и их внедрении, оценке полученных результатов, подготовке технической документации по автоматизации производства и средств его оснащения (ПК-33);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выбирать рациональные методы и средства определения эксплуатационных характеристик оборудования, средств и систем автоматизации и их технического оснащения (ПК-34);</w:t>
      </w:r>
    </w:p>
    <w:p w:rsidR="00CA6602" w:rsidRPr="00CA6602" w:rsidRDefault="00CA6602" w:rsidP="00CA6602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>способностью составлять техническую документацию на приобретение нового оборудования, средств и систем автоматизации, их технического оснащения, запасных частей; осуществлять подготовку технических сре</w:t>
      </w:r>
      <w:proofErr w:type="gramStart"/>
      <w:r w:rsidRPr="00CA6602">
        <w:rPr>
          <w:rFonts w:eastAsia="Calibri"/>
          <w:sz w:val="24"/>
          <w:szCs w:val="24"/>
          <w:lang w:eastAsia="en-US"/>
        </w:rPr>
        <w:t>дств к р</w:t>
      </w:r>
      <w:proofErr w:type="gramEnd"/>
      <w:r w:rsidRPr="00CA6602">
        <w:rPr>
          <w:rFonts w:eastAsia="Calibri"/>
          <w:sz w:val="24"/>
          <w:szCs w:val="24"/>
          <w:lang w:eastAsia="en-US"/>
        </w:rPr>
        <w:t>емонту (ПК-35).</w:t>
      </w:r>
    </w:p>
    <w:p w:rsidR="00CA6602" w:rsidRPr="00CA6602" w:rsidRDefault="00CA6602" w:rsidP="00CA6602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Полученные в ходе освоения дисциплины «Технологические процессы автоматизированных производств» профессиональные компетенции будут использоваться в профессиональной деятельности, а также теоретические и практические знания и навыки далее используются при курсовом и дипломном проектировании.</w:t>
      </w:r>
    </w:p>
    <w:p w:rsidR="003E2FD2" w:rsidRPr="00BF7260" w:rsidRDefault="003E2FD2" w:rsidP="003E2FD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A6602">
        <w:rPr>
          <w:rFonts w:eastAsia="Calibri"/>
          <w:sz w:val="24"/>
          <w:szCs w:val="24"/>
          <w:lang w:eastAsia="en-US"/>
        </w:rPr>
        <w:t xml:space="preserve">Изучение дисциплины должно сформировать привитие </w:t>
      </w:r>
      <w:proofErr w:type="gramStart"/>
      <w:r w:rsidRPr="00CA6602">
        <w:rPr>
          <w:rFonts w:eastAsia="Calibri"/>
          <w:sz w:val="24"/>
          <w:szCs w:val="24"/>
          <w:lang w:eastAsia="en-US"/>
        </w:rPr>
        <w:t>навыков разработки технологических процессов изготовления деталей</w:t>
      </w:r>
      <w:proofErr w:type="gramEnd"/>
      <w:r w:rsidRPr="00CA6602">
        <w:rPr>
          <w:rFonts w:eastAsia="Calibri"/>
          <w:sz w:val="24"/>
          <w:szCs w:val="24"/>
          <w:lang w:eastAsia="en-US"/>
        </w:rPr>
        <w:t xml:space="preserve"> на современном металлорежущем оборудовании с использованием Интернет-ресурсов, нормативных документов и компьютерной техники, для различных типов машиностроительных производств.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A6602">
        <w:rPr>
          <w:rFonts w:eastAsia="Calibri"/>
          <w:b/>
          <w:i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602">
        <w:rPr>
          <w:rFonts w:ascii="Times New Roman" w:hAnsi="Times New Roman"/>
          <w:sz w:val="24"/>
          <w:szCs w:val="24"/>
        </w:rPr>
        <w:t>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 xml:space="preserve">способностью участвовать в разработке (на основе действующих стандартов и другой нормативной документации) проектной и рабочей технической документации в области автоматизации технологических процессов и производств, их эксплуатационному обслуживанию, управлению жизненным циклом продукции и ее качеством, в мероприятиях по контролю соответствия разрабатываемых проектов и технической </w:t>
      </w:r>
      <w:proofErr w:type="gramStart"/>
      <w:r w:rsidRPr="00CA6602">
        <w:rPr>
          <w:rFonts w:ascii="Times New Roman" w:hAnsi="Times New Roman"/>
          <w:sz w:val="24"/>
          <w:szCs w:val="24"/>
        </w:rPr>
        <w:t>документации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действующим стандартам, техническим условиям и другим нормативным документам (ПК-5);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CA6602">
        <w:rPr>
          <w:rFonts w:ascii="Times New Roman" w:hAnsi="Times New Roman"/>
          <w:sz w:val="24"/>
          <w:szCs w:val="24"/>
        </w:rPr>
        <w:t>ии и ее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качеством, в практическом освоении и совершенствовании данных процессов, средств и систем (ПК-7);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602">
        <w:rPr>
          <w:rFonts w:ascii="Times New Roman" w:hAnsi="Times New Roman"/>
          <w:sz w:val="24"/>
          <w:szCs w:val="24"/>
        </w:rPr>
        <w:lastRenderedPageBreak/>
        <w:t>способностью определять номенклатуру параметров продукции и технологических процессов ее изготовления, подлежащих контролю и измерению, устанавливать оптимальные нормы точности продукции, измерений и достоверности контроля, разрабатывать локальные поверочные схемы и выполнять проверку и отладку систем и средств автоматизации технологических процессов, контроля, диагностики, испытаний, управления процессами, жизненным циклом продукции и ее качеством, а также их ремонт и выбор;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осваивать средства обеспечения автоматизации и управления (ПК-9);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способностью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технологических процессов, средств автоматизации и управления процессами, жизненным циклом продукц</w:t>
      </w:r>
      <w:proofErr w:type="gramStart"/>
      <w:r w:rsidRPr="00CA6602">
        <w:rPr>
          <w:rFonts w:ascii="Times New Roman" w:hAnsi="Times New Roman"/>
          <w:sz w:val="24"/>
          <w:szCs w:val="24"/>
        </w:rPr>
        <w:t>ии и ее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качеством, систем экологического менеджмента предприятия, по сертификации продукции, процессов, средств автоматизации и управления (ПК-10);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602">
        <w:rPr>
          <w:rFonts w:ascii="Times New Roman" w:hAnsi="Times New Roman"/>
          <w:sz w:val="24"/>
          <w:szCs w:val="24"/>
        </w:rPr>
        <w:t>способностью участвовать: в разработке планов, программ, методик, связанных с автоматизацией технологических процессов и производств, управлением процессами, жизненным циклом продукции и ее качеством, инструкций по эксплуатации оборудования, средств и систем автоматизации, управления и сертификации и другой текстовой документации, входящей в конструкторскую и технологическую документацию, в работах по экспертизе технической документации, надзору и контролю за состоянием технологических процессов, систем, средств автоматизации и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управления, оборудования, выявлению их резервов, определению причин недостатков и возникающих неисправностей при эксплуатации, принятию мер по их устранению и повышению эффективности использования (ПК-11);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способностью выбирать технологии, инструментальные средства и средства вычислительной техники при организации процессов проектирования, изготовления, контроля и испытаний продукции; средства и системы автоматизации, контроля, диагностики, испытаний, управления производством, жизненным циклом продукц</w:t>
      </w:r>
      <w:proofErr w:type="gramStart"/>
      <w:r w:rsidRPr="00CA6602">
        <w:rPr>
          <w:rFonts w:ascii="Times New Roman" w:hAnsi="Times New Roman"/>
          <w:sz w:val="24"/>
          <w:szCs w:val="24"/>
        </w:rPr>
        <w:t>ии и ее</w:t>
      </w:r>
      <w:proofErr w:type="gramEnd"/>
      <w:r w:rsidRPr="00CA6602">
        <w:rPr>
          <w:rFonts w:ascii="Times New Roman" w:hAnsi="Times New Roman"/>
          <w:sz w:val="24"/>
          <w:szCs w:val="24"/>
        </w:rPr>
        <w:t xml:space="preserve"> качеством (ПК-15);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6602">
        <w:rPr>
          <w:rFonts w:ascii="Times New Roman" w:hAnsi="Times New Roman"/>
          <w:sz w:val="24"/>
          <w:szCs w:val="24"/>
        </w:rPr>
        <w:t>способностью участвовать: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исследований; в постановке и модернизации отдельных лабораторных работ и практикумов по дисциплинам профилей направления; способностью проводить отдельные виды аудиторных учебных занятий (лабораторные и практические), применять новые образовательные технологии, включая системы компьютерного и дистанционного обучения (ПК-22);</w:t>
      </w:r>
      <w:proofErr w:type="gramEnd"/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способностью составлять заявки на оборудование, технические средства и системы автоматизации, контроля, диагностики, испытаний и управления, запасные части, инструкции по испытаниям и эксплуатации данных средств и систем, техническую документацию на их ремонт (ПК-27);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t>способностью участвовать в работах по практическому техническому оснащению рабочих мест, размещению основного и вспомогательного оборудования, средств автоматизации, управления, контроля, диагностики и испытаний, а также по их внедрению на производстве (ПК-30);</w:t>
      </w: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A6602" w:rsidRPr="00CA6602" w:rsidRDefault="00CA6602" w:rsidP="00CA660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6602">
        <w:rPr>
          <w:rFonts w:ascii="Times New Roman" w:hAnsi="Times New Roman"/>
          <w:sz w:val="24"/>
          <w:szCs w:val="24"/>
        </w:rPr>
        <w:lastRenderedPageBreak/>
        <w:t>способностью составлять техническую документацию на приобретение нового оборудования, средств и систем автоматизации, их технического оснащения, запасных частей; осуществлять подготовку технических сре</w:t>
      </w:r>
      <w:proofErr w:type="gramStart"/>
      <w:r w:rsidRPr="00CA6602">
        <w:rPr>
          <w:rFonts w:ascii="Times New Roman" w:hAnsi="Times New Roman"/>
          <w:sz w:val="24"/>
          <w:szCs w:val="24"/>
        </w:rPr>
        <w:t>дств к р</w:t>
      </w:r>
      <w:proofErr w:type="gramEnd"/>
      <w:r w:rsidRPr="00CA6602">
        <w:rPr>
          <w:rFonts w:ascii="Times New Roman" w:hAnsi="Times New Roman"/>
          <w:sz w:val="24"/>
          <w:szCs w:val="24"/>
        </w:rPr>
        <w:t>емонту (ПК-35).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CA6602">
        <w:rPr>
          <w:rFonts w:eastAsia="Calibri"/>
          <w:b/>
          <w:i/>
          <w:sz w:val="24"/>
          <w:szCs w:val="24"/>
          <w:lang w:eastAsia="en-US"/>
        </w:rPr>
        <w:t>В результате освоения дисциплины студент должен: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A6602">
        <w:rPr>
          <w:rFonts w:eastAsia="Calibri"/>
          <w:b/>
          <w:bCs/>
          <w:sz w:val="24"/>
          <w:szCs w:val="24"/>
          <w:lang w:eastAsia="en-US"/>
        </w:rPr>
        <w:t>Иметь представление:</w:t>
      </w:r>
    </w:p>
    <w:p w:rsidR="00CA6602" w:rsidRPr="00CA6602" w:rsidRDefault="00CA6602" w:rsidP="00CA6602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CA6602">
        <w:rPr>
          <w:rFonts w:eastAsia="Calibri"/>
          <w:bCs/>
          <w:sz w:val="24"/>
          <w:szCs w:val="24"/>
          <w:lang w:eastAsia="en-US"/>
        </w:rPr>
        <w:t>О современных научных и технических достижениях отечественного и зарубежного машиностроения в области проектирования технологических процессов автоматизированного производства.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A6602">
        <w:rPr>
          <w:rFonts w:eastAsia="Calibri"/>
          <w:b/>
          <w:bCs/>
          <w:sz w:val="24"/>
          <w:szCs w:val="24"/>
          <w:lang w:eastAsia="en-US"/>
        </w:rPr>
        <w:t>Знать:</w:t>
      </w:r>
    </w:p>
    <w:p w:rsidR="00CA6602" w:rsidRPr="00CA6602" w:rsidRDefault="00CA6602" w:rsidP="00CA660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Методы и особенности проектирования технологических процессов для автоматизированного технологического оборудования (автоматических станков и линий).</w:t>
      </w:r>
    </w:p>
    <w:p w:rsidR="00CA6602" w:rsidRPr="00CA6602" w:rsidRDefault="00CA6602" w:rsidP="00CA660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Методы расчёта экономической эффективности оптимальных технологических процессов для автоматизированного производства.</w:t>
      </w:r>
    </w:p>
    <w:p w:rsidR="00CA6602" w:rsidRPr="00CA6602" w:rsidRDefault="00CA6602" w:rsidP="00CA660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 xml:space="preserve">Аппарат технико-экономического </w:t>
      </w:r>
      <w:proofErr w:type="gramStart"/>
      <w:r w:rsidRPr="00CA6602">
        <w:rPr>
          <w:sz w:val="24"/>
          <w:szCs w:val="24"/>
        </w:rPr>
        <w:t>анализа выбора оптимальных технологических решений изготовления объектов производства</w:t>
      </w:r>
      <w:proofErr w:type="gramEnd"/>
      <w:r w:rsidRPr="00CA6602">
        <w:rPr>
          <w:sz w:val="24"/>
          <w:szCs w:val="24"/>
        </w:rPr>
        <w:t>.</w:t>
      </w:r>
    </w:p>
    <w:p w:rsidR="00CA6602" w:rsidRPr="00CA6602" w:rsidRDefault="00CA6602" w:rsidP="00CA660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Методы технологической подготовки производства обработки заготовок в условиях автоматизированного производства.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A6602">
        <w:rPr>
          <w:rFonts w:eastAsia="Calibri"/>
          <w:b/>
          <w:bCs/>
          <w:sz w:val="24"/>
          <w:szCs w:val="24"/>
          <w:lang w:eastAsia="en-US"/>
        </w:rPr>
        <w:t>Уметь:</w:t>
      </w:r>
    </w:p>
    <w:p w:rsidR="00CA6602" w:rsidRPr="00CA6602" w:rsidRDefault="00CA6602" w:rsidP="00CA660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Проектировать оптимальные групповые технологические процессы изготовления деталей и узлов машин на станках с ЧПУ, ГПС и автоматических линиях.</w:t>
      </w:r>
    </w:p>
    <w:p w:rsidR="00CA6602" w:rsidRPr="00CA6602" w:rsidRDefault="00CA6602" w:rsidP="00CA660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Рассчитывать точность и надежность технологических процессов автоматизированного производства, состав технологического оборудования.</w:t>
      </w:r>
    </w:p>
    <w:p w:rsidR="00CA6602" w:rsidRPr="00CA6602" w:rsidRDefault="00CA6602" w:rsidP="00CA660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Разрабатывать управляющие программы для станков с ЧПУ и технические задания на проектирование средств технологического оснащения ТП автоматизированного производства.</w:t>
      </w:r>
    </w:p>
    <w:p w:rsidR="00CA6602" w:rsidRPr="00CA6602" w:rsidRDefault="00CA6602" w:rsidP="00CA6602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>Производить исследования по совершенствованию ТП механической обработки заготовок с целью повышения качества изделий и производительности труда в курсовых и дипломных проектах.</w:t>
      </w:r>
    </w:p>
    <w:p w:rsidR="00CA6602" w:rsidRPr="00CA6602" w:rsidRDefault="00CA6602" w:rsidP="00CA6602">
      <w:pPr>
        <w:widowControl/>
        <w:autoSpaceDE/>
        <w:autoSpaceDN/>
        <w:adjustRightInd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A6602">
        <w:rPr>
          <w:rFonts w:eastAsia="Calibri"/>
          <w:b/>
          <w:bCs/>
          <w:sz w:val="24"/>
          <w:szCs w:val="24"/>
          <w:lang w:eastAsia="en-US"/>
        </w:rPr>
        <w:t>Владеть:</w:t>
      </w:r>
    </w:p>
    <w:p w:rsidR="00CA6602" w:rsidRPr="00CA6602" w:rsidRDefault="00CA6602" w:rsidP="00CA6602">
      <w:pPr>
        <w:ind w:firstLine="567"/>
        <w:jc w:val="both"/>
        <w:rPr>
          <w:sz w:val="24"/>
          <w:szCs w:val="24"/>
        </w:rPr>
      </w:pPr>
      <w:r w:rsidRPr="00CA6602">
        <w:rPr>
          <w:sz w:val="24"/>
          <w:szCs w:val="24"/>
        </w:rPr>
        <w:t xml:space="preserve">Самостоятельным решением технологических и организационных задач в области разработки управляющих программ для станков с ЧПУ, ГПС, анализа и </w:t>
      </w:r>
      <w:proofErr w:type="gramStart"/>
      <w:r w:rsidRPr="00CA6602">
        <w:rPr>
          <w:sz w:val="24"/>
          <w:szCs w:val="24"/>
        </w:rPr>
        <w:t>исследования</w:t>
      </w:r>
      <w:proofErr w:type="gramEnd"/>
      <w:r w:rsidRPr="00CA6602">
        <w:rPr>
          <w:sz w:val="24"/>
          <w:szCs w:val="24"/>
        </w:rPr>
        <w:t xml:space="preserve"> технически совершенных и экономически эффективных ТП, использования нормативных документов, справочной литературы и других информационных источников в процессе курсового и дипломного проектирования.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CA6602">
        <w:rPr>
          <w:rFonts w:ascii="TimesNewRomanPSMT" w:hAnsi="TimesNewRomanPSMT" w:cs="TimesNewRomanPSMT"/>
          <w:b w:val="0"/>
        </w:rPr>
        <w:t>6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CA6602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CA6602">
        <w:rPr>
          <w:rFonts w:ascii="TimesNewRomanPSMT" w:hAnsi="TimesNewRomanPSMT" w:cs="TimesNewRomanPSMT"/>
          <w:b w:val="0"/>
        </w:rPr>
        <w:t>256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990883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bookmarkStart w:id="0" w:name="_GoBack"/>
      <w:bookmarkEnd w:id="0"/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 xml:space="preserve">лекции, </w:t>
      </w:r>
      <w:r w:rsidR="00CF544B">
        <w:rPr>
          <w:sz w:val="24"/>
        </w:rPr>
        <w:t>практические и семинарские занятия.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lastRenderedPageBreak/>
        <w:t xml:space="preserve">По данной дисциплине предусмотрена форма отчетности: </w:t>
      </w:r>
      <w:r w:rsidR="00DC2A39">
        <w:rPr>
          <w:b w:val="0"/>
        </w:rPr>
        <w:t>зачет</w:t>
      </w:r>
      <w:r w:rsidR="00990883">
        <w:rPr>
          <w:b w:val="0"/>
        </w:rPr>
        <w:t>, 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>во время практических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DE" w:rsidRDefault="005521DE" w:rsidP="006C3DD0">
      <w:r>
        <w:separator/>
      </w:r>
    </w:p>
  </w:endnote>
  <w:endnote w:type="continuationSeparator" w:id="0">
    <w:p w:rsidR="005521DE" w:rsidRDefault="005521DE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D2B7C">
      <w:rPr>
        <w:noProof/>
      </w:rPr>
      <w:t>6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FD2B7C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DE" w:rsidRDefault="005521DE" w:rsidP="006C3DD0">
      <w:r>
        <w:separator/>
      </w:r>
    </w:p>
  </w:footnote>
  <w:footnote w:type="continuationSeparator" w:id="0">
    <w:p w:rsidR="005521DE" w:rsidRDefault="005521DE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2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3157B"/>
    <w:rsid w:val="00140024"/>
    <w:rsid w:val="001855D0"/>
    <w:rsid w:val="001A3DC0"/>
    <w:rsid w:val="002075AB"/>
    <w:rsid w:val="00230F2B"/>
    <w:rsid w:val="00233016"/>
    <w:rsid w:val="0025633D"/>
    <w:rsid w:val="0028574D"/>
    <w:rsid w:val="002A3F80"/>
    <w:rsid w:val="002B28C3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521DE"/>
    <w:rsid w:val="00590E8D"/>
    <w:rsid w:val="005E70BD"/>
    <w:rsid w:val="006340CA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C09C8"/>
    <w:rsid w:val="008C3A63"/>
    <w:rsid w:val="008E0B18"/>
    <w:rsid w:val="008F1A71"/>
    <w:rsid w:val="00912938"/>
    <w:rsid w:val="009130F7"/>
    <w:rsid w:val="009351A0"/>
    <w:rsid w:val="0096023E"/>
    <w:rsid w:val="00973D51"/>
    <w:rsid w:val="00990883"/>
    <w:rsid w:val="009B0510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A6602"/>
    <w:rsid w:val="00CC18F0"/>
    <w:rsid w:val="00CF1CEA"/>
    <w:rsid w:val="00CF544B"/>
    <w:rsid w:val="00D4305C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C4B3E"/>
    <w:rsid w:val="00ED476B"/>
    <w:rsid w:val="00F804C1"/>
    <w:rsid w:val="00FD2B7C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0E174-AA7A-42F3-88FD-ED46BEFD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2017-03-27T06:40:00Z</dcterms:created>
  <dcterms:modified xsi:type="dcterms:W3CDTF">2017-03-28T08:29:00Z</dcterms:modified>
</cp:coreProperties>
</file>